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90040" w14:paraId="788E97AC" w14:textId="77777777" w:rsidTr="00FC14DA">
        <w:trPr>
          <w:trHeight w:val="851"/>
        </w:trPr>
        <w:tc>
          <w:tcPr>
            <w:tcW w:w="1259" w:type="dxa"/>
            <w:tcBorders>
              <w:top w:val="nil"/>
              <w:left w:val="nil"/>
              <w:bottom w:val="single" w:sz="4" w:space="0" w:color="auto"/>
              <w:right w:val="nil"/>
            </w:tcBorders>
          </w:tcPr>
          <w:p w14:paraId="3A89035A" w14:textId="77777777" w:rsidR="00690040" w:rsidRPr="002A32CB" w:rsidRDefault="00690040" w:rsidP="00FC14DA">
            <w:pPr>
              <w:pStyle w:val="HMG"/>
            </w:pPr>
            <w:bookmarkStart w:id="0" w:name="_GoBack"/>
            <w:bookmarkEnd w:id="0"/>
          </w:p>
        </w:tc>
        <w:tc>
          <w:tcPr>
            <w:tcW w:w="2236" w:type="dxa"/>
            <w:tcBorders>
              <w:top w:val="nil"/>
              <w:left w:val="nil"/>
              <w:bottom w:val="single" w:sz="4" w:space="0" w:color="auto"/>
              <w:right w:val="nil"/>
            </w:tcBorders>
            <w:vAlign w:val="bottom"/>
          </w:tcPr>
          <w:p w14:paraId="35526E0F" w14:textId="325B8F6D" w:rsidR="00690040" w:rsidRDefault="00690040" w:rsidP="00FC14DA">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36551189" w14:textId="08ADE066" w:rsidR="00690040" w:rsidRDefault="00690040" w:rsidP="005669EC">
            <w:pPr>
              <w:suppressAutoHyphens w:val="0"/>
              <w:spacing w:after="20"/>
              <w:jc w:val="right"/>
            </w:pPr>
            <w:r w:rsidRPr="00FA36DE">
              <w:rPr>
                <w:sz w:val="40"/>
              </w:rPr>
              <w:t>A</w:t>
            </w:r>
            <w:r w:rsidR="006E0172">
              <w:t>/74/</w:t>
            </w:r>
            <w:r w:rsidR="00766D71">
              <w:t>480</w:t>
            </w:r>
            <w:r w:rsidR="005669EC">
              <w:t>50</w:t>
            </w:r>
          </w:p>
        </w:tc>
      </w:tr>
      <w:tr w:rsidR="00690040" w14:paraId="36B96CB2" w14:textId="77777777" w:rsidTr="00FC14DA">
        <w:trPr>
          <w:trHeight w:val="2835"/>
        </w:trPr>
        <w:tc>
          <w:tcPr>
            <w:tcW w:w="1259" w:type="dxa"/>
            <w:tcBorders>
              <w:top w:val="single" w:sz="4" w:space="0" w:color="auto"/>
              <w:left w:val="nil"/>
              <w:bottom w:val="single" w:sz="12" w:space="0" w:color="auto"/>
              <w:right w:val="nil"/>
            </w:tcBorders>
          </w:tcPr>
          <w:p w14:paraId="115D98B3" w14:textId="036023EC" w:rsidR="00690040" w:rsidRDefault="00690040" w:rsidP="00FC14DA">
            <w:pPr>
              <w:spacing w:before="120"/>
              <w:jc w:val="center"/>
            </w:pPr>
          </w:p>
        </w:tc>
        <w:tc>
          <w:tcPr>
            <w:tcW w:w="5450" w:type="dxa"/>
            <w:gridSpan w:val="2"/>
            <w:tcBorders>
              <w:top w:val="single" w:sz="4" w:space="0" w:color="auto"/>
              <w:left w:val="nil"/>
              <w:bottom w:val="single" w:sz="12" w:space="0" w:color="auto"/>
              <w:right w:val="nil"/>
            </w:tcBorders>
          </w:tcPr>
          <w:p w14:paraId="4EB7BE34" w14:textId="5665E708" w:rsidR="00690040" w:rsidRDefault="001903D2" w:rsidP="00FC14DA">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7A08AD0D" w14:textId="77777777" w:rsidR="00690040" w:rsidRDefault="00690040" w:rsidP="00FC14DA">
            <w:pPr>
              <w:spacing w:before="240"/>
            </w:pPr>
            <w:r>
              <w:t>Distr.: General</w:t>
            </w:r>
          </w:p>
          <w:p w14:paraId="39E3B599" w14:textId="4F7A8A13" w:rsidR="00690040" w:rsidRPr="00F93942" w:rsidRDefault="00F15331" w:rsidP="00FC14DA">
            <w:pPr>
              <w:suppressAutoHyphens w:val="0"/>
            </w:pPr>
            <w:r>
              <w:t>9</w:t>
            </w:r>
            <w:r w:rsidR="005669EC">
              <w:t xml:space="preserve"> October</w:t>
            </w:r>
            <w:r w:rsidR="0030412B">
              <w:t xml:space="preserve"> 2019</w:t>
            </w:r>
          </w:p>
          <w:p w14:paraId="6FBA7B62" w14:textId="77777777" w:rsidR="00690040" w:rsidRDefault="00690040" w:rsidP="00FC14DA">
            <w:pPr>
              <w:suppressAutoHyphens w:val="0"/>
            </w:pPr>
          </w:p>
          <w:p w14:paraId="601C3F68" w14:textId="77777777" w:rsidR="00690040" w:rsidRDefault="00690040" w:rsidP="00690040">
            <w:pPr>
              <w:suppressAutoHyphens w:val="0"/>
            </w:pPr>
            <w:r>
              <w:t>Original: English</w:t>
            </w:r>
          </w:p>
        </w:tc>
      </w:tr>
    </w:tbl>
    <w:p w14:paraId="028BC26F" w14:textId="77777777" w:rsidR="00690040" w:rsidRPr="008B5A9F" w:rsidRDefault="006E0172" w:rsidP="009D6DD4">
      <w:pPr>
        <w:spacing w:before="120"/>
        <w:rPr>
          <w:b/>
          <w:bCs/>
        </w:rPr>
      </w:pPr>
      <w:r>
        <w:rPr>
          <w:b/>
          <w:bCs/>
        </w:rPr>
        <w:t>Seventy-fourth</w:t>
      </w:r>
      <w:r w:rsidR="00690040" w:rsidRPr="008B5A9F">
        <w:rPr>
          <w:b/>
          <w:bCs/>
          <w:color w:val="FF0000"/>
        </w:rPr>
        <w:t xml:space="preserve"> </w:t>
      </w:r>
      <w:r w:rsidR="00690040" w:rsidRPr="008B5A9F">
        <w:rPr>
          <w:b/>
          <w:bCs/>
        </w:rPr>
        <w:t>session</w:t>
      </w:r>
    </w:p>
    <w:p w14:paraId="46AEC0AA" w14:textId="3398C42A" w:rsidR="00690040" w:rsidRDefault="007412FD" w:rsidP="00690040">
      <w:r>
        <w:t>Item 72</w:t>
      </w:r>
      <w:r w:rsidR="006E0172">
        <w:t xml:space="preserve"> (b) of the provisional agenda</w:t>
      </w:r>
      <w:r w:rsidR="006E0172" w:rsidRPr="006E0172">
        <w:rPr>
          <w:rStyle w:val="FootnoteReference"/>
          <w:sz w:val="20"/>
          <w:vertAlign w:val="baseline"/>
        </w:rPr>
        <w:footnoteReference w:customMarkFollows="1" w:id="2"/>
        <w:t>*</w:t>
      </w:r>
    </w:p>
    <w:p w14:paraId="39221745" w14:textId="3927DD5D" w:rsidR="00F53FF9" w:rsidRPr="00F53FF9" w:rsidRDefault="00F53FF9" w:rsidP="00F53FF9">
      <w:pPr>
        <w:rPr>
          <w:b/>
          <w:bCs/>
        </w:rPr>
      </w:pPr>
      <w:r w:rsidRPr="00F53FF9">
        <w:rPr>
          <w:b/>
          <w:bCs/>
        </w:rPr>
        <w:t xml:space="preserve">Promotion and protection of human rights: </w:t>
      </w:r>
      <w:r w:rsidR="00F15331">
        <w:rPr>
          <w:b/>
          <w:bCs/>
        </w:rPr>
        <w:br/>
      </w:r>
      <w:r w:rsidRPr="00F53FF9">
        <w:rPr>
          <w:b/>
          <w:bCs/>
        </w:rPr>
        <w:t>human rights questions including alternative means</w:t>
      </w:r>
      <w:r w:rsidR="00F15331">
        <w:rPr>
          <w:b/>
          <w:bCs/>
        </w:rPr>
        <w:br/>
      </w:r>
      <w:r w:rsidRPr="00F53FF9">
        <w:rPr>
          <w:b/>
          <w:bCs/>
        </w:rPr>
        <w:t>of improving the effective enjoyment of human rights</w:t>
      </w:r>
      <w:r w:rsidR="00F15331">
        <w:rPr>
          <w:b/>
          <w:bCs/>
        </w:rPr>
        <w:br/>
      </w:r>
      <w:r w:rsidRPr="00F53FF9">
        <w:rPr>
          <w:b/>
          <w:bCs/>
        </w:rPr>
        <w:t>and fundamental freedoms</w:t>
      </w:r>
    </w:p>
    <w:p w14:paraId="6BE396EB" w14:textId="77777777" w:rsidR="00F53FF9" w:rsidRDefault="00690040" w:rsidP="00A35149">
      <w:pPr>
        <w:pStyle w:val="HChG"/>
      </w:pPr>
      <w:r w:rsidRPr="004E611C">
        <w:rPr>
          <w:rFonts w:eastAsia="Arial Unicode MS"/>
          <w:u w:color="000000"/>
        </w:rPr>
        <w:tab/>
      </w:r>
      <w:r w:rsidRPr="004E611C">
        <w:rPr>
          <w:rFonts w:eastAsia="Arial Unicode MS"/>
          <w:u w:color="000000"/>
        </w:rPr>
        <w:tab/>
      </w:r>
      <w:r w:rsidR="005669EC">
        <w:rPr>
          <w:rFonts w:eastAsia="Arial Unicode MS"/>
          <w:u w:color="000000"/>
        </w:rPr>
        <w:t>R</w:t>
      </w:r>
      <w:r w:rsidR="008A45EC" w:rsidRPr="008A45EC">
        <w:t xml:space="preserve">eport of the Special Rapporteur on the </w:t>
      </w:r>
      <w:r w:rsidR="005669EC">
        <w:t>promotion and protection of the freedom of opinion and expression</w:t>
      </w:r>
      <w:r w:rsidR="005669EC" w:rsidRPr="00F15331">
        <w:rPr>
          <w:rStyle w:val="FootnoteReference"/>
          <w:b w:val="0"/>
          <w:sz w:val="20"/>
          <w:vertAlign w:val="baseline"/>
        </w:rPr>
        <w:footnoteReference w:customMarkFollows="1" w:id="3"/>
        <w:t>**</w:t>
      </w:r>
    </w:p>
    <w:p w14:paraId="1521A1F2" w14:textId="77777777" w:rsidR="00E139B5" w:rsidRDefault="00F53FF9" w:rsidP="00F53FF9">
      <w:pPr>
        <w:pStyle w:val="H1G"/>
      </w:pPr>
      <w:r>
        <w:rPr>
          <w:rFonts w:eastAsia="Arial Unicode MS"/>
          <w:u w:color="000000"/>
        </w:rPr>
        <w:tab/>
      </w:r>
      <w:r>
        <w:rPr>
          <w:rFonts w:eastAsia="Arial Unicode MS"/>
          <w:u w:color="000000"/>
        </w:rPr>
        <w:tab/>
      </w:r>
      <w:r w:rsidR="00694E7D">
        <w:t>Note by the Secretary General</w:t>
      </w:r>
    </w:p>
    <w:p w14:paraId="464E7C08" w14:textId="0EB114C5" w:rsidR="00D947A8" w:rsidRPr="00F53FF9" w:rsidRDefault="00F53FF9" w:rsidP="00F53FF9">
      <w:pPr>
        <w:pStyle w:val="SingleTxtG"/>
      </w:pPr>
      <w:r>
        <w:tab/>
      </w:r>
      <w:r>
        <w:tab/>
      </w:r>
      <w:r w:rsidR="001A4E44" w:rsidRPr="001A4E44">
        <w:t>The Secretary-General has the honour to transmit to the General Assembly the report prepared by the Special Rapporteur on the promotion and protection of the right to freedom of opinion and expression, David Kaye, submitted in accordance with Human Rights Council resolution 34/18. In this report, the Special Rapporteur evaluates the human rights law that applies to the regulation of online ‘hate speech’.</w:t>
      </w:r>
      <w:r w:rsidR="00D947A8" w:rsidRPr="00F53FF9">
        <w:br w:type="page"/>
      </w:r>
    </w:p>
    <w:p w14:paraId="4BF924CF" w14:textId="77777777" w:rsidR="00E139B5" w:rsidRDefault="001A4E44" w:rsidP="0015677F">
      <w:pPr>
        <w:pStyle w:val="HChG"/>
      </w:pPr>
      <w:r>
        <w:lastRenderedPageBreak/>
        <w:tab/>
      </w:r>
      <w:r>
        <w:tab/>
        <w:t>R</w:t>
      </w:r>
      <w:r w:rsidR="0015677F" w:rsidRPr="00A95A84">
        <w:t xml:space="preserve">eport of the </w:t>
      </w:r>
      <w:r w:rsidR="0015677F" w:rsidRPr="00442517">
        <w:t>Special Rapporteur</w:t>
      </w:r>
      <w:r w:rsidRPr="001A4E44">
        <w:t xml:space="preserve"> on the promotion and protection of the freedom of opinion and expression</w:t>
      </w:r>
    </w:p>
    <w:p w14:paraId="6F77963C" w14:textId="77777777" w:rsidR="0030412B" w:rsidRPr="004078BC" w:rsidRDefault="0030412B" w:rsidP="0030412B">
      <w:pPr>
        <w:tabs>
          <w:tab w:val="left" w:pos="7890"/>
        </w:tabs>
        <w:suppressAutoHyphens w:val="0"/>
        <w:spacing w:before="480" w:line="276" w:lineRule="auto"/>
        <w:contextualSpacing/>
        <w:rPr>
          <w:sz w:val="28"/>
        </w:rPr>
      </w:pPr>
      <w:r w:rsidRPr="004078BC">
        <w:rPr>
          <w:sz w:val="28"/>
        </w:rPr>
        <w:t>Contents</w:t>
      </w:r>
    </w:p>
    <w:p w14:paraId="59CB5FFA" w14:textId="77777777" w:rsidR="0030412B" w:rsidRPr="004078BC" w:rsidRDefault="0030412B" w:rsidP="0030412B">
      <w:pPr>
        <w:tabs>
          <w:tab w:val="right" w:pos="8929"/>
          <w:tab w:val="right" w:pos="9638"/>
        </w:tabs>
        <w:spacing w:after="120"/>
        <w:ind w:left="283"/>
      </w:pPr>
      <w:r w:rsidRPr="004078BC">
        <w:rPr>
          <w:i/>
          <w:sz w:val="18"/>
        </w:rPr>
        <w:tab/>
      </w:r>
      <w:r w:rsidRPr="004078BC">
        <w:rPr>
          <w:i/>
          <w:sz w:val="18"/>
        </w:rPr>
        <w:tab/>
        <w:t>Page</w:t>
      </w:r>
    </w:p>
    <w:p w14:paraId="6A2DCE1D" w14:textId="77777777" w:rsidR="0095063F" w:rsidRPr="004078BC" w:rsidRDefault="0030412B" w:rsidP="0095063F">
      <w:pPr>
        <w:tabs>
          <w:tab w:val="right" w:pos="850"/>
          <w:tab w:val="left" w:pos="1134"/>
          <w:tab w:val="left" w:pos="1559"/>
          <w:tab w:val="left" w:pos="1984"/>
          <w:tab w:val="left" w:leader="dot" w:pos="8929"/>
          <w:tab w:val="right" w:pos="9638"/>
        </w:tabs>
        <w:spacing w:after="120"/>
      </w:pPr>
      <w:r w:rsidRPr="004078BC">
        <w:tab/>
      </w:r>
      <w:r w:rsidR="0095063F" w:rsidRPr="004078BC">
        <w:t>I.</w:t>
      </w:r>
      <w:r w:rsidR="0095063F" w:rsidRPr="004078BC">
        <w:tab/>
        <w:t>Introduction</w:t>
      </w:r>
      <w:r w:rsidR="0095063F" w:rsidRPr="004078BC">
        <w:tab/>
      </w:r>
      <w:r w:rsidR="0095063F" w:rsidRPr="004078BC">
        <w:tab/>
        <w:t>3</w:t>
      </w:r>
    </w:p>
    <w:p w14:paraId="7A4915A2" w14:textId="68ADB626" w:rsidR="0095063F" w:rsidRPr="004078BC" w:rsidRDefault="0095063F" w:rsidP="001A4E44">
      <w:pPr>
        <w:tabs>
          <w:tab w:val="right" w:pos="850"/>
          <w:tab w:val="left" w:pos="1134"/>
          <w:tab w:val="left" w:pos="1559"/>
          <w:tab w:val="left" w:pos="1984"/>
          <w:tab w:val="left" w:leader="dot" w:pos="8929"/>
          <w:tab w:val="right" w:pos="9638"/>
        </w:tabs>
        <w:spacing w:after="120"/>
      </w:pPr>
      <w:r w:rsidRPr="004078BC">
        <w:tab/>
        <w:t>II.</w:t>
      </w:r>
      <w:r w:rsidRPr="004078BC">
        <w:tab/>
      </w:r>
      <w:r w:rsidR="001A4E44" w:rsidRPr="004078BC">
        <w:t>Hate spe</w:t>
      </w:r>
      <w:r w:rsidR="00B73781">
        <w:t>e</w:t>
      </w:r>
      <w:r w:rsidR="001A4E44" w:rsidRPr="004078BC">
        <w:t>ch regulation in human rights law</w:t>
      </w:r>
      <w:r w:rsidR="00AF5CC6">
        <w:tab/>
      </w:r>
      <w:r w:rsidR="00AF5CC6">
        <w:tab/>
        <w:t>3</w:t>
      </w:r>
    </w:p>
    <w:p w14:paraId="60CFE5A8" w14:textId="77777777" w:rsidR="0095063F" w:rsidRDefault="0095063F" w:rsidP="001A4E44">
      <w:pPr>
        <w:tabs>
          <w:tab w:val="right" w:pos="850"/>
          <w:tab w:val="left" w:pos="1134"/>
          <w:tab w:val="left" w:pos="1559"/>
          <w:tab w:val="left" w:pos="1984"/>
          <w:tab w:val="left" w:leader="dot" w:pos="8929"/>
          <w:tab w:val="right" w:pos="9638"/>
        </w:tabs>
        <w:spacing w:after="120"/>
      </w:pPr>
      <w:r w:rsidRPr="00F76268">
        <w:tab/>
      </w:r>
      <w:r>
        <w:t>III.</w:t>
      </w:r>
      <w:r>
        <w:tab/>
      </w:r>
      <w:r w:rsidR="001A4E44">
        <w:t>Governing online hate speech</w:t>
      </w:r>
      <w:r w:rsidRPr="00791D64">
        <w:tab/>
      </w:r>
      <w:r w:rsidRPr="00791D64">
        <w:tab/>
      </w:r>
      <w:r w:rsidR="00AB236F">
        <w:t>10</w:t>
      </w:r>
    </w:p>
    <w:p w14:paraId="22AA36F9" w14:textId="77777777" w:rsidR="00892B7A" w:rsidRDefault="00892B7A" w:rsidP="004078BC">
      <w:pPr>
        <w:tabs>
          <w:tab w:val="right" w:pos="850"/>
          <w:tab w:val="left" w:pos="1134"/>
          <w:tab w:val="left" w:pos="1559"/>
          <w:tab w:val="left" w:pos="1984"/>
          <w:tab w:val="left" w:leader="dot" w:pos="8929"/>
          <w:tab w:val="right" w:pos="9638"/>
        </w:tabs>
        <w:spacing w:after="120"/>
        <w:ind w:left="850"/>
      </w:pPr>
      <w:r>
        <w:tab/>
        <w:t>A.</w:t>
      </w:r>
      <w:r>
        <w:tab/>
      </w:r>
      <w:r w:rsidRPr="00892B7A">
        <w:t>State obligations and the regulation of online hate speech</w:t>
      </w:r>
      <w:r>
        <w:tab/>
      </w:r>
      <w:r>
        <w:tab/>
        <w:t>10</w:t>
      </w:r>
    </w:p>
    <w:p w14:paraId="770BB93C" w14:textId="36D684B0" w:rsidR="00892B7A" w:rsidRDefault="00892B7A" w:rsidP="004078BC">
      <w:pPr>
        <w:tabs>
          <w:tab w:val="right" w:pos="850"/>
          <w:tab w:val="left" w:pos="1134"/>
          <w:tab w:val="left" w:pos="1559"/>
          <w:tab w:val="left" w:pos="1984"/>
          <w:tab w:val="left" w:leader="dot" w:pos="8929"/>
          <w:tab w:val="right" w:pos="9638"/>
        </w:tabs>
        <w:spacing w:after="120"/>
        <w:ind w:left="850"/>
      </w:pPr>
      <w:r>
        <w:tab/>
        <w:t>B.</w:t>
      </w:r>
      <w:r>
        <w:tab/>
      </w:r>
      <w:r w:rsidRPr="00892B7A">
        <w:t>Company content moderation and hate speech</w:t>
      </w:r>
      <w:r w:rsidR="00AF5CC6">
        <w:tab/>
      </w:r>
      <w:r w:rsidR="00AF5CC6">
        <w:tab/>
        <w:t>13</w:t>
      </w:r>
    </w:p>
    <w:p w14:paraId="17CE1747" w14:textId="77777777" w:rsidR="001A4E44" w:rsidRPr="00791D64" w:rsidRDefault="001A4E44" w:rsidP="001A4E44">
      <w:pPr>
        <w:tabs>
          <w:tab w:val="right" w:pos="850"/>
          <w:tab w:val="left" w:pos="1134"/>
          <w:tab w:val="left" w:pos="1559"/>
          <w:tab w:val="left" w:pos="1984"/>
          <w:tab w:val="left" w:leader="dot" w:pos="8929"/>
          <w:tab w:val="right" w:pos="9638"/>
        </w:tabs>
        <w:spacing w:after="120"/>
      </w:pPr>
      <w:r>
        <w:tab/>
        <w:t>IV.</w:t>
      </w:r>
      <w:r>
        <w:tab/>
      </w:r>
      <w:r w:rsidR="00892B7A">
        <w:t>C</w:t>
      </w:r>
      <w:r w:rsidR="00AB236F">
        <w:t>onclusions</w:t>
      </w:r>
      <w:r w:rsidR="00892B7A">
        <w:t xml:space="preserve"> and </w:t>
      </w:r>
      <w:r w:rsidR="00892B7A" w:rsidRPr="00892B7A">
        <w:t>Re</w:t>
      </w:r>
      <w:r w:rsidR="00892B7A">
        <w:t xml:space="preserve">commendations </w:t>
      </w:r>
      <w:r w:rsidR="00AB236F">
        <w:tab/>
      </w:r>
      <w:r w:rsidR="00AB236F">
        <w:tab/>
        <w:t>18</w:t>
      </w:r>
    </w:p>
    <w:p w14:paraId="6D9F6C32" w14:textId="6F59F0CC" w:rsidR="00191BDA" w:rsidRPr="00191BDA" w:rsidRDefault="0095063F" w:rsidP="00F15331">
      <w:pPr>
        <w:pStyle w:val="HChG"/>
        <w:tabs>
          <w:tab w:val="clear" w:pos="851"/>
          <w:tab w:val="right" w:pos="0"/>
        </w:tabs>
        <w:ind w:left="426" w:hanging="992"/>
      </w:pPr>
      <w:r>
        <w:tab/>
      </w:r>
      <w:r w:rsidR="0030412B" w:rsidRPr="0030412B">
        <w:br w:type="page"/>
      </w:r>
      <w:r w:rsidR="00191BDA">
        <w:lastRenderedPageBreak/>
        <w:tab/>
        <w:t>I.</w:t>
      </w:r>
      <w:r w:rsidR="00191BDA">
        <w:tab/>
      </w:r>
      <w:r w:rsidR="00191BDA">
        <w:rPr>
          <w:lang w:val="en-AU"/>
        </w:rPr>
        <w:t>Introduction</w:t>
      </w:r>
    </w:p>
    <w:p w14:paraId="53A5F063" w14:textId="05E9560E" w:rsidR="00F77049" w:rsidRDefault="001A4E44" w:rsidP="001A4E44">
      <w:pPr>
        <w:pStyle w:val="SingleTxtG"/>
        <w:rPr>
          <w:rFonts w:eastAsia="MS Mincho"/>
        </w:rPr>
      </w:pPr>
      <w:r w:rsidRPr="001A4E44">
        <w:rPr>
          <w:rFonts w:eastAsia="MS Mincho"/>
        </w:rPr>
        <w:t>1.</w:t>
      </w:r>
      <w:r w:rsidRPr="001A4E44">
        <w:rPr>
          <w:rFonts w:eastAsia="MS Mincho"/>
        </w:rPr>
        <w:tab/>
      </w:r>
      <w:r w:rsidR="00A57D92" w:rsidRPr="00E8341D">
        <w:rPr>
          <w:rFonts w:eastAsia="MS Mincho"/>
        </w:rPr>
        <w:t>‘</w:t>
      </w:r>
      <w:r w:rsidR="00A57D92">
        <w:rPr>
          <w:rFonts w:eastAsia="MS Mincho"/>
        </w:rPr>
        <w:t>H</w:t>
      </w:r>
      <w:r w:rsidR="00A57D92" w:rsidRPr="00E8341D">
        <w:rPr>
          <w:rFonts w:eastAsia="MS Mincho"/>
        </w:rPr>
        <w:t>ate speech’</w:t>
      </w:r>
      <w:r w:rsidR="00A57D92">
        <w:rPr>
          <w:rFonts w:eastAsia="MS Mincho"/>
        </w:rPr>
        <w:t xml:space="preserve">, a </w:t>
      </w:r>
      <w:r w:rsidR="00A57D92" w:rsidRPr="00E8341D">
        <w:rPr>
          <w:rFonts w:eastAsia="MS Mincho"/>
        </w:rPr>
        <w:t>short-hand phrase that conventional international law does not define</w:t>
      </w:r>
      <w:r w:rsidR="00A57D92">
        <w:rPr>
          <w:rFonts w:eastAsia="MS Mincho"/>
        </w:rPr>
        <w:t xml:space="preserve">, has a double-edged ambiguity. Its vagueness, and the lack of consensus around its meaning, can be abused to enable infringements on a wide range of lawful expression. </w:t>
      </w:r>
      <w:r w:rsidR="000153AD">
        <w:rPr>
          <w:rFonts w:eastAsia="MS Mincho"/>
        </w:rPr>
        <w:t>M</w:t>
      </w:r>
      <w:r w:rsidR="00A57D92">
        <w:rPr>
          <w:rFonts w:eastAsia="MS Mincho"/>
        </w:rPr>
        <w:t xml:space="preserve">any governments use ‘hate speech,’ like ‘fake news,’ to attack political enemies, non-believers, dissenters and critics. </w:t>
      </w:r>
      <w:r w:rsidR="000153AD">
        <w:rPr>
          <w:rFonts w:eastAsia="MS Mincho"/>
        </w:rPr>
        <w:t>Yet</w:t>
      </w:r>
      <w:r w:rsidR="00A57D92">
        <w:rPr>
          <w:rFonts w:eastAsia="MS Mincho"/>
        </w:rPr>
        <w:t xml:space="preserve"> the phrase’s weakness</w:t>
      </w:r>
      <w:r w:rsidR="000153AD">
        <w:rPr>
          <w:rFonts w:eastAsia="MS Mincho"/>
        </w:rPr>
        <w:t xml:space="preserve"> (‘</w:t>
      </w:r>
      <w:r w:rsidR="000153AD" w:rsidRPr="000153AD">
        <w:rPr>
          <w:rFonts w:eastAsia="MS Mincho"/>
        </w:rPr>
        <w:t>it’s just speech</w:t>
      </w:r>
      <w:r w:rsidR="000153AD">
        <w:rPr>
          <w:rFonts w:eastAsia="MS Mincho"/>
        </w:rPr>
        <w:t>’)</w:t>
      </w:r>
      <w:r w:rsidR="00A57D92">
        <w:rPr>
          <w:rFonts w:eastAsia="MS Mincho"/>
        </w:rPr>
        <w:t xml:space="preserve"> </w:t>
      </w:r>
      <w:r w:rsidR="00E94CAE">
        <w:rPr>
          <w:rFonts w:eastAsia="MS Mincho"/>
        </w:rPr>
        <w:t xml:space="preserve">also </w:t>
      </w:r>
      <w:r w:rsidR="00A57D92">
        <w:rPr>
          <w:rFonts w:eastAsia="MS Mincho"/>
        </w:rPr>
        <w:t xml:space="preserve">seems to inhibit governments and companies from addressing genuine harms </w:t>
      </w:r>
      <w:r w:rsidR="00F77049">
        <w:rPr>
          <w:rFonts w:eastAsia="MS Mincho"/>
        </w:rPr>
        <w:t>such as</w:t>
      </w:r>
      <w:r w:rsidR="00A57D92">
        <w:rPr>
          <w:rFonts w:eastAsia="MS Mincho"/>
        </w:rPr>
        <w:t xml:space="preserve"> the kind that </w:t>
      </w:r>
      <w:r w:rsidR="003D00E7">
        <w:rPr>
          <w:rFonts w:eastAsia="MS Mincho"/>
        </w:rPr>
        <w:t xml:space="preserve">incites </w:t>
      </w:r>
      <w:r w:rsidR="00A57D92">
        <w:rPr>
          <w:rFonts w:eastAsia="MS Mincho"/>
        </w:rPr>
        <w:t>violence</w:t>
      </w:r>
      <w:r w:rsidR="003D00E7">
        <w:rPr>
          <w:rFonts w:eastAsia="MS Mincho"/>
        </w:rPr>
        <w:t xml:space="preserve"> or discrimination</w:t>
      </w:r>
      <w:r w:rsidR="00A57D92">
        <w:rPr>
          <w:rFonts w:eastAsia="MS Mincho"/>
        </w:rPr>
        <w:t xml:space="preserve"> against the vulnerable or the silencing of the marginalized. The situation </w:t>
      </w:r>
      <w:r w:rsidR="00E94CAE">
        <w:rPr>
          <w:rFonts w:eastAsia="MS Mincho"/>
        </w:rPr>
        <w:t>frustrates a public that often</w:t>
      </w:r>
      <w:r w:rsidR="00A57D92">
        <w:rPr>
          <w:rFonts w:eastAsia="MS Mincho"/>
        </w:rPr>
        <w:t xml:space="preserve"> perceive</w:t>
      </w:r>
      <w:r w:rsidR="00E94CAE">
        <w:rPr>
          <w:rFonts w:eastAsia="MS Mincho"/>
        </w:rPr>
        <w:t>s</w:t>
      </w:r>
      <w:r w:rsidR="007608E5">
        <w:rPr>
          <w:rFonts w:eastAsia="MS Mincho"/>
        </w:rPr>
        <w:t xml:space="preserve"> rampant</w:t>
      </w:r>
      <w:r w:rsidR="00A57D92">
        <w:rPr>
          <w:rFonts w:eastAsia="MS Mincho"/>
        </w:rPr>
        <w:t xml:space="preserve"> online </w:t>
      </w:r>
      <w:r w:rsidR="00DD4008">
        <w:rPr>
          <w:rFonts w:eastAsia="MS Mincho"/>
        </w:rPr>
        <w:t>abuse</w:t>
      </w:r>
      <w:r w:rsidR="00A57D92">
        <w:rPr>
          <w:rFonts w:eastAsia="MS Mincho"/>
        </w:rPr>
        <w:t xml:space="preserve">. </w:t>
      </w:r>
    </w:p>
    <w:p w14:paraId="1806B978" w14:textId="2EBEA8CF" w:rsidR="001A4E44" w:rsidRPr="001A4E44" w:rsidRDefault="00F77049" w:rsidP="001A4E44">
      <w:pPr>
        <w:pStyle w:val="SingleTxtG"/>
        <w:rPr>
          <w:rFonts w:eastAsia="MS Mincho"/>
        </w:rPr>
      </w:pPr>
      <w:r>
        <w:rPr>
          <w:rFonts w:eastAsia="MS Mincho"/>
        </w:rPr>
        <w:t>2.</w:t>
      </w:r>
      <w:r>
        <w:rPr>
          <w:rFonts w:eastAsia="MS Mincho"/>
        </w:rPr>
        <w:tab/>
      </w:r>
      <w:r w:rsidR="001A4E44" w:rsidRPr="001A4E44">
        <w:rPr>
          <w:rFonts w:eastAsia="MS Mincho"/>
        </w:rPr>
        <w:t>In a world of rising calls for limits on ‘hate speech,’ international human rights law</w:t>
      </w:r>
      <w:r w:rsidR="00A57D92">
        <w:rPr>
          <w:rFonts w:eastAsia="MS Mincho"/>
        </w:rPr>
        <w:t xml:space="preserve"> provides</w:t>
      </w:r>
      <w:r w:rsidR="001A4E44" w:rsidRPr="001A4E44">
        <w:rPr>
          <w:rFonts w:eastAsia="MS Mincho"/>
        </w:rPr>
        <w:t xml:space="preserve"> standards </w:t>
      </w:r>
      <w:r w:rsidR="00E94CAE">
        <w:rPr>
          <w:rFonts w:eastAsia="MS Mincho"/>
        </w:rPr>
        <w:t>to</w:t>
      </w:r>
      <w:r w:rsidR="00A57D92">
        <w:rPr>
          <w:rFonts w:eastAsia="MS Mincho"/>
        </w:rPr>
        <w:t xml:space="preserve"> govern</w:t>
      </w:r>
      <w:r w:rsidR="001A4E44" w:rsidRPr="001A4E44">
        <w:rPr>
          <w:rFonts w:eastAsia="MS Mincho"/>
        </w:rPr>
        <w:t xml:space="preserve"> State </w:t>
      </w:r>
      <w:r w:rsidR="001A4E44" w:rsidRPr="002138E6">
        <w:rPr>
          <w:rFonts w:eastAsia="MS Mincho"/>
        </w:rPr>
        <w:t>and</w:t>
      </w:r>
      <w:r w:rsidR="001A4E44" w:rsidRPr="001A4E44">
        <w:rPr>
          <w:rFonts w:eastAsia="MS Mincho"/>
        </w:rPr>
        <w:t xml:space="preserve"> company </w:t>
      </w:r>
      <w:r w:rsidR="00E94CAE">
        <w:rPr>
          <w:rFonts w:eastAsia="MS Mincho"/>
        </w:rPr>
        <w:t>approaches to</w:t>
      </w:r>
      <w:r w:rsidR="001A4E44" w:rsidRPr="001A4E44">
        <w:rPr>
          <w:rFonts w:eastAsia="MS Mincho"/>
        </w:rPr>
        <w:t xml:space="preserve"> online expression.</w:t>
      </w:r>
      <w:r w:rsidR="001A4E44" w:rsidRPr="001A4E44">
        <w:rPr>
          <w:rFonts w:eastAsia="MS Mincho"/>
          <w:sz w:val="18"/>
          <w:vertAlign w:val="superscript"/>
        </w:rPr>
        <w:footnoteReference w:id="4"/>
      </w:r>
      <w:r w:rsidR="001A4E44" w:rsidRPr="001A4E44">
        <w:rPr>
          <w:rFonts w:eastAsia="MS Mincho"/>
        </w:rPr>
        <w:t xml:space="preserve"> This report explains how </w:t>
      </w:r>
      <w:r w:rsidR="00A57D92">
        <w:rPr>
          <w:rFonts w:eastAsia="MS Mincho"/>
        </w:rPr>
        <w:t>those standards</w:t>
      </w:r>
      <w:r w:rsidR="001A4E44" w:rsidRPr="001A4E44">
        <w:rPr>
          <w:rFonts w:eastAsia="MS Mincho"/>
        </w:rPr>
        <w:t xml:space="preserve"> provide a framework for governments considering regulatory options and companies determining how to respect human rights online. It begins with an introduction to the </w:t>
      </w:r>
      <w:r w:rsidR="00E94CAE">
        <w:rPr>
          <w:rFonts w:eastAsia="MS Mincho"/>
        </w:rPr>
        <w:t>international legal framework, focusing on UN treaties and the leading interpretations of provisions related to what is colloquially called ‘hate speech’</w:t>
      </w:r>
      <w:r w:rsidR="001A4E44" w:rsidRPr="001A4E44">
        <w:rPr>
          <w:rFonts w:eastAsia="MS Mincho"/>
        </w:rPr>
        <w:t xml:space="preserve">. </w:t>
      </w:r>
      <w:r w:rsidR="00E94CAE">
        <w:rPr>
          <w:rFonts w:eastAsia="MS Mincho"/>
        </w:rPr>
        <w:t xml:space="preserve">The report then highlights key State obligations and </w:t>
      </w:r>
      <w:r w:rsidR="001A4E44" w:rsidRPr="001A4E44">
        <w:rPr>
          <w:rFonts w:eastAsia="MS Mincho"/>
        </w:rPr>
        <w:t>address</w:t>
      </w:r>
      <w:r w:rsidR="00E94CAE">
        <w:rPr>
          <w:rFonts w:eastAsia="MS Mincho"/>
        </w:rPr>
        <w:t>es</w:t>
      </w:r>
      <w:r w:rsidR="001A4E44" w:rsidRPr="001A4E44">
        <w:rPr>
          <w:rFonts w:eastAsia="MS Mincho"/>
        </w:rPr>
        <w:t xml:space="preserve"> </w:t>
      </w:r>
      <w:r w:rsidR="00E94CAE">
        <w:rPr>
          <w:rFonts w:eastAsia="MS Mincho"/>
        </w:rPr>
        <w:t>how</w:t>
      </w:r>
      <w:r w:rsidR="001A4E44" w:rsidRPr="001A4E44">
        <w:rPr>
          <w:rFonts w:eastAsia="MS Mincho"/>
        </w:rPr>
        <w:t xml:space="preserve"> </w:t>
      </w:r>
      <w:r w:rsidR="00A57D92">
        <w:rPr>
          <w:rFonts w:eastAsia="MS Mincho"/>
        </w:rPr>
        <w:t>company content</w:t>
      </w:r>
      <w:r w:rsidR="001A4E44" w:rsidRPr="001A4E44">
        <w:rPr>
          <w:rFonts w:eastAsia="MS Mincho"/>
        </w:rPr>
        <w:t xml:space="preserve"> moderation</w:t>
      </w:r>
      <w:r w:rsidR="00E94CAE">
        <w:rPr>
          <w:rFonts w:eastAsia="MS Mincho"/>
        </w:rPr>
        <w:t xml:space="preserve"> may respect the human rights of users and the public</w:t>
      </w:r>
      <w:r w:rsidR="001A4E44" w:rsidRPr="001A4E44">
        <w:rPr>
          <w:rFonts w:eastAsia="MS Mincho"/>
        </w:rPr>
        <w:t>. It concludes with recommendat</w:t>
      </w:r>
      <w:r w:rsidR="00E8341D">
        <w:rPr>
          <w:rFonts w:eastAsia="MS Mincho"/>
        </w:rPr>
        <w:t xml:space="preserve">ions for States and companies. </w:t>
      </w:r>
    </w:p>
    <w:p w14:paraId="5505FB72" w14:textId="7DC3DE6C" w:rsidR="001A4E44" w:rsidRPr="001A4E44" w:rsidRDefault="00DE6678" w:rsidP="00E8341D">
      <w:pPr>
        <w:pStyle w:val="SingleTxtG"/>
        <w:rPr>
          <w:rFonts w:eastAsia="MS Mincho"/>
        </w:rPr>
      </w:pPr>
      <w:r>
        <w:rPr>
          <w:rFonts w:eastAsia="MS Mincho"/>
        </w:rPr>
        <w:t>3</w:t>
      </w:r>
      <w:r w:rsidR="001A4E44" w:rsidRPr="001A4E44">
        <w:rPr>
          <w:rFonts w:eastAsia="MS Mincho"/>
        </w:rPr>
        <w:t>.</w:t>
      </w:r>
      <w:r w:rsidR="001A4E44" w:rsidRPr="001A4E44">
        <w:rPr>
          <w:rFonts w:eastAsia="MS Mincho"/>
        </w:rPr>
        <w:tab/>
        <w:t>This is the sixth in a series of reports since 2015 that have address</w:t>
      </w:r>
      <w:r w:rsidR="002208DA">
        <w:rPr>
          <w:rFonts w:eastAsia="MS Mincho"/>
        </w:rPr>
        <w:t>ed</w:t>
      </w:r>
      <w:r w:rsidR="001A4E44" w:rsidRPr="001A4E44">
        <w:rPr>
          <w:rFonts w:eastAsia="MS Mincho"/>
        </w:rPr>
        <w:t xml:space="preserve"> the human rights standards applicable to freedom of opinion and expression in the Information and Communications Technology (ICT) sector.</w:t>
      </w:r>
      <w:r w:rsidR="001A4E44" w:rsidRPr="001A4E44">
        <w:rPr>
          <w:rFonts w:eastAsia="MS Mincho"/>
          <w:sz w:val="18"/>
          <w:vertAlign w:val="superscript"/>
        </w:rPr>
        <w:footnoteReference w:id="5"/>
      </w:r>
      <w:r w:rsidR="001A4E44" w:rsidRPr="001A4E44">
        <w:rPr>
          <w:rFonts w:eastAsia="MS Mincho"/>
        </w:rPr>
        <w:t xml:space="preserve"> </w:t>
      </w:r>
      <w:r w:rsidR="007608E5">
        <w:rPr>
          <w:rFonts w:eastAsia="MS Mincho"/>
        </w:rPr>
        <w:t>I</w:t>
      </w:r>
      <w:r w:rsidR="001A4E44" w:rsidRPr="001A4E44">
        <w:rPr>
          <w:rFonts w:eastAsia="MS Mincho"/>
        </w:rPr>
        <w:t>t should be read in light of the standards and recommendations proposed previously (and which are not necessarily repeated herein). Like the earlier ones, this report draws extensively from existing international standards and from considerable civil society inp</w:t>
      </w:r>
      <w:r w:rsidR="00E8341D">
        <w:rPr>
          <w:rFonts w:eastAsia="MS Mincho"/>
        </w:rPr>
        <w:t>ut over the past several years.</w:t>
      </w:r>
      <w:r w:rsidR="00F55FEB">
        <w:rPr>
          <w:rFonts w:eastAsia="MS Mincho"/>
        </w:rPr>
        <w:t xml:space="preserve"> </w:t>
      </w:r>
    </w:p>
    <w:p w14:paraId="618C2FDC" w14:textId="77777777" w:rsidR="001A4E44" w:rsidRPr="001A4E44" w:rsidRDefault="00E8341D" w:rsidP="00E8341D">
      <w:pPr>
        <w:pStyle w:val="HChG"/>
        <w:rPr>
          <w:rFonts w:eastAsia="MS Mincho"/>
        </w:rPr>
      </w:pPr>
      <w:r>
        <w:rPr>
          <w:rFonts w:eastAsia="MS Mincho"/>
        </w:rPr>
        <w:tab/>
      </w:r>
      <w:r w:rsidR="001A4E44" w:rsidRPr="001A4E44">
        <w:rPr>
          <w:rFonts w:eastAsia="MS Mincho"/>
        </w:rPr>
        <w:t>II.</w:t>
      </w:r>
      <w:r w:rsidR="001A4E44" w:rsidRPr="001A4E44">
        <w:rPr>
          <w:rFonts w:eastAsia="MS Mincho"/>
        </w:rPr>
        <w:tab/>
        <w:t>Hate speech in international human rights law</w:t>
      </w:r>
    </w:p>
    <w:p w14:paraId="5A14F6E4" w14:textId="7BD8ABD7" w:rsidR="001A4E44" w:rsidRPr="00E8341D" w:rsidRDefault="00DE6678" w:rsidP="00E8341D">
      <w:pPr>
        <w:pStyle w:val="SingleTxtG"/>
        <w:rPr>
          <w:rFonts w:eastAsia="MS Mincho"/>
        </w:rPr>
      </w:pPr>
      <w:r>
        <w:rPr>
          <w:rFonts w:eastAsia="MS Mincho"/>
        </w:rPr>
        <w:t>4</w:t>
      </w:r>
      <w:r w:rsidR="001A4E44" w:rsidRPr="00E8341D">
        <w:rPr>
          <w:rFonts w:eastAsia="MS Mincho"/>
        </w:rPr>
        <w:t>.</w:t>
      </w:r>
      <w:r w:rsidR="001A4E44" w:rsidRPr="00E8341D">
        <w:rPr>
          <w:rFonts w:eastAsia="MS Mincho"/>
        </w:rPr>
        <w:tab/>
        <w:t xml:space="preserve">Under international human rights law, the </w:t>
      </w:r>
      <w:r w:rsidR="00A74F97">
        <w:rPr>
          <w:rFonts w:eastAsia="MS Mincho"/>
        </w:rPr>
        <w:t>limitation</w:t>
      </w:r>
      <w:r w:rsidR="00A74F97" w:rsidRPr="00E8341D">
        <w:rPr>
          <w:rFonts w:eastAsia="MS Mincho"/>
        </w:rPr>
        <w:t xml:space="preserve"> </w:t>
      </w:r>
      <w:r w:rsidR="001A4E44" w:rsidRPr="00E8341D">
        <w:rPr>
          <w:rFonts w:eastAsia="MS Mincho"/>
        </w:rPr>
        <w:t>of ‘hate speech’</w:t>
      </w:r>
      <w:r w:rsidR="00F55FEB">
        <w:rPr>
          <w:rFonts w:eastAsia="MS Mincho"/>
        </w:rPr>
        <w:t xml:space="preserve"> </w:t>
      </w:r>
      <w:r w:rsidR="001A4E44" w:rsidRPr="00E8341D">
        <w:rPr>
          <w:rFonts w:eastAsia="MS Mincho"/>
        </w:rPr>
        <w:t xml:space="preserve">seems to </w:t>
      </w:r>
      <w:r w:rsidR="00F55FEB">
        <w:rPr>
          <w:rFonts w:eastAsia="MS Mincho"/>
        </w:rPr>
        <w:t>demand</w:t>
      </w:r>
      <w:r w:rsidR="001A4E44" w:rsidRPr="00E8341D">
        <w:rPr>
          <w:rFonts w:eastAsia="MS Mincho"/>
        </w:rPr>
        <w:t xml:space="preserve"> a reconciliation of </w:t>
      </w:r>
      <w:r w:rsidR="002208DA">
        <w:rPr>
          <w:rFonts w:eastAsia="MS Mincho"/>
        </w:rPr>
        <w:t xml:space="preserve">two sets of values: </w:t>
      </w:r>
      <w:r w:rsidR="001A4E44" w:rsidRPr="00E8341D">
        <w:rPr>
          <w:rFonts w:eastAsia="MS Mincho"/>
        </w:rPr>
        <w:t>democratic society’s requirement</w:t>
      </w:r>
      <w:r w:rsidR="00B73781">
        <w:rPr>
          <w:rFonts w:eastAsia="MS Mincho"/>
        </w:rPr>
        <w:t>s</w:t>
      </w:r>
      <w:r w:rsidR="001A4E44" w:rsidRPr="00E8341D">
        <w:rPr>
          <w:rFonts w:eastAsia="MS Mincho"/>
        </w:rPr>
        <w:t xml:space="preserve"> of open debate</w:t>
      </w:r>
      <w:r w:rsidR="00B73781">
        <w:rPr>
          <w:rFonts w:eastAsia="MS Mincho"/>
        </w:rPr>
        <w:t xml:space="preserve"> and individual autonomy and development</w:t>
      </w:r>
      <w:r w:rsidR="001A4E44" w:rsidRPr="00E8341D">
        <w:rPr>
          <w:rFonts w:eastAsia="MS Mincho"/>
        </w:rPr>
        <w:t xml:space="preserve"> with </w:t>
      </w:r>
      <w:r w:rsidR="00B73781">
        <w:rPr>
          <w:rFonts w:eastAsia="MS Mincho"/>
        </w:rPr>
        <w:t>the</w:t>
      </w:r>
      <w:r w:rsidR="00B73781" w:rsidRPr="00E8341D">
        <w:rPr>
          <w:rFonts w:eastAsia="MS Mincho"/>
        </w:rPr>
        <w:t xml:space="preserve"> </w:t>
      </w:r>
      <w:r w:rsidR="001A4E44" w:rsidRPr="00E8341D">
        <w:rPr>
          <w:rFonts w:eastAsia="MS Mincho"/>
        </w:rPr>
        <w:t>also compelling obligation to</w:t>
      </w:r>
      <w:r w:rsidR="00D4268F">
        <w:rPr>
          <w:rFonts w:eastAsia="MS Mincho"/>
        </w:rPr>
        <w:t xml:space="preserve"> prevent attacks on vulnerable communities and</w:t>
      </w:r>
      <w:r w:rsidR="001A4E44" w:rsidRPr="00E8341D">
        <w:rPr>
          <w:rFonts w:eastAsia="MS Mincho"/>
        </w:rPr>
        <w:t xml:space="preserve"> ensure equal and non-discriminatory participation of all individuals in public life.</w:t>
      </w:r>
      <w:r w:rsidR="001A4E44" w:rsidRPr="00E8341D">
        <w:rPr>
          <w:rFonts w:eastAsia="MS Mincho"/>
          <w:sz w:val="18"/>
          <w:szCs w:val="18"/>
          <w:vertAlign w:val="superscript"/>
        </w:rPr>
        <w:footnoteReference w:id="6"/>
      </w:r>
      <w:r w:rsidR="001A4E44" w:rsidRPr="00E8341D">
        <w:rPr>
          <w:rFonts w:eastAsia="MS Mincho"/>
        </w:rPr>
        <w:t xml:space="preserve"> Governments often exploit th</w:t>
      </w:r>
      <w:r w:rsidR="00F55FEB">
        <w:rPr>
          <w:rFonts w:eastAsia="MS Mincho"/>
        </w:rPr>
        <w:t>e resulting</w:t>
      </w:r>
      <w:r w:rsidR="001A4E44" w:rsidRPr="00E8341D">
        <w:rPr>
          <w:rFonts w:eastAsia="MS Mincho"/>
        </w:rPr>
        <w:t xml:space="preserve"> uncertainty to threaten legitimate expression such as political dissent and criticism or religious disagreement.</w:t>
      </w:r>
      <w:r w:rsidR="001A4E44" w:rsidRPr="00E8341D">
        <w:rPr>
          <w:rFonts w:eastAsia="MS Mincho"/>
          <w:vertAlign w:val="superscript"/>
        </w:rPr>
        <w:footnoteReference w:id="7"/>
      </w:r>
      <w:r w:rsidR="000762C8">
        <w:rPr>
          <w:rFonts w:eastAsia="MS Mincho"/>
        </w:rPr>
        <w:t xml:space="preserve"> </w:t>
      </w:r>
      <w:r w:rsidR="00F55FEB">
        <w:rPr>
          <w:rFonts w:eastAsia="MS Mincho"/>
        </w:rPr>
        <w:t>Yet</w:t>
      </w:r>
      <w:r w:rsidR="000762C8">
        <w:rPr>
          <w:rFonts w:eastAsia="MS Mincho"/>
        </w:rPr>
        <w:t xml:space="preserve"> freedom of expression and the rights to equality</w:t>
      </w:r>
      <w:r w:rsidR="007608E5">
        <w:rPr>
          <w:rFonts w:eastAsia="MS Mincho"/>
        </w:rPr>
        <w:t xml:space="preserve"> and</w:t>
      </w:r>
      <w:r w:rsidR="00F55FEB">
        <w:rPr>
          <w:rFonts w:eastAsia="MS Mincho"/>
        </w:rPr>
        <w:t xml:space="preserve"> life</w:t>
      </w:r>
      <w:r w:rsidR="007608E5">
        <w:rPr>
          <w:rFonts w:eastAsia="MS Mincho"/>
        </w:rPr>
        <w:t>,</w:t>
      </w:r>
      <w:r w:rsidR="000762C8">
        <w:rPr>
          <w:rFonts w:eastAsia="MS Mincho"/>
        </w:rPr>
        <w:t xml:space="preserve"> and</w:t>
      </w:r>
      <w:r w:rsidR="007608E5">
        <w:rPr>
          <w:rFonts w:eastAsia="MS Mincho"/>
        </w:rPr>
        <w:t xml:space="preserve"> the obligation of</w:t>
      </w:r>
      <w:r w:rsidR="000762C8">
        <w:rPr>
          <w:rFonts w:eastAsia="MS Mincho"/>
        </w:rPr>
        <w:t xml:space="preserve"> non-discrimination</w:t>
      </w:r>
      <w:r w:rsidR="007608E5">
        <w:rPr>
          <w:rFonts w:eastAsia="MS Mincho"/>
        </w:rPr>
        <w:t xml:space="preserve">, </w:t>
      </w:r>
      <w:r w:rsidR="000762C8">
        <w:rPr>
          <w:rFonts w:eastAsia="MS Mincho"/>
        </w:rPr>
        <w:t xml:space="preserve">are mutually reinforcing; </w:t>
      </w:r>
      <w:r w:rsidR="00F55FEB">
        <w:rPr>
          <w:rFonts w:eastAsia="MS Mincho"/>
        </w:rPr>
        <w:t xml:space="preserve">human rights law permits </w:t>
      </w:r>
      <w:r w:rsidR="000762C8">
        <w:rPr>
          <w:rFonts w:eastAsia="MS Mincho"/>
        </w:rPr>
        <w:t>States and companies to focu</w:t>
      </w:r>
      <w:r w:rsidR="00F55FEB">
        <w:rPr>
          <w:rFonts w:eastAsia="MS Mincho"/>
        </w:rPr>
        <w:t>s</w:t>
      </w:r>
      <w:r w:rsidR="000762C8">
        <w:rPr>
          <w:rFonts w:eastAsia="MS Mincho"/>
        </w:rPr>
        <w:t xml:space="preserve"> on protecting and promoting the speech of</w:t>
      </w:r>
      <w:r w:rsidR="007608E5">
        <w:rPr>
          <w:rFonts w:eastAsia="MS Mincho"/>
        </w:rPr>
        <w:t xml:space="preserve"> all, especially</w:t>
      </w:r>
      <w:r w:rsidR="000762C8">
        <w:rPr>
          <w:rFonts w:eastAsia="MS Mincho"/>
        </w:rPr>
        <w:t xml:space="preserve"> those whose rights are often at risk</w:t>
      </w:r>
      <w:r w:rsidR="007608E5">
        <w:rPr>
          <w:rFonts w:eastAsia="MS Mincho"/>
        </w:rPr>
        <w:t>,</w:t>
      </w:r>
      <w:r w:rsidR="00F55FEB">
        <w:rPr>
          <w:rFonts w:eastAsia="MS Mincho"/>
        </w:rPr>
        <w:t xml:space="preserve"> while also addressing</w:t>
      </w:r>
      <w:r w:rsidR="000762C8">
        <w:rPr>
          <w:rFonts w:eastAsia="MS Mincho"/>
        </w:rPr>
        <w:t xml:space="preserve"> the </w:t>
      </w:r>
      <w:r w:rsidR="003059B0">
        <w:rPr>
          <w:rFonts w:eastAsia="MS Mincho"/>
        </w:rPr>
        <w:t>public and private</w:t>
      </w:r>
      <w:r w:rsidR="000762C8">
        <w:rPr>
          <w:rFonts w:eastAsia="MS Mincho"/>
        </w:rPr>
        <w:t xml:space="preserve"> discrimination that undermines </w:t>
      </w:r>
      <w:r w:rsidR="003059B0">
        <w:rPr>
          <w:rFonts w:eastAsia="MS Mincho"/>
        </w:rPr>
        <w:t xml:space="preserve">enjoyment of </w:t>
      </w:r>
      <w:r w:rsidR="000762C8">
        <w:rPr>
          <w:rFonts w:eastAsia="MS Mincho"/>
        </w:rPr>
        <w:t>all rights.</w:t>
      </w:r>
    </w:p>
    <w:p w14:paraId="382D3A85" w14:textId="37BB7742" w:rsidR="001A4E44" w:rsidRPr="001A4E44" w:rsidRDefault="00E8341D" w:rsidP="00E8341D">
      <w:pPr>
        <w:pStyle w:val="H23G"/>
        <w:rPr>
          <w:rFonts w:eastAsia="MS Mincho"/>
        </w:rPr>
      </w:pPr>
      <w:r>
        <w:rPr>
          <w:rFonts w:eastAsia="MS Mincho"/>
        </w:rPr>
        <w:tab/>
      </w:r>
      <w:r>
        <w:rPr>
          <w:rFonts w:eastAsia="MS Mincho"/>
        </w:rPr>
        <w:tab/>
      </w:r>
      <w:r w:rsidR="00923D56">
        <w:rPr>
          <w:rFonts w:eastAsia="MS Mincho"/>
        </w:rPr>
        <w:t>F</w:t>
      </w:r>
      <w:r w:rsidR="001A4E44" w:rsidRPr="001A4E44">
        <w:rPr>
          <w:rFonts w:eastAsia="MS Mincho"/>
        </w:rPr>
        <w:t xml:space="preserve">reedom of expression </w:t>
      </w:r>
    </w:p>
    <w:p w14:paraId="3A2ADC8E" w14:textId="71510BAE" w:rsidR="001A4E44" w:rsidRPr="001A4E44" w:rsidRDefault="00B24EA8" w:rsidP="00B24EA8">
      <w:pPr>
        <w:pStyle w:val="SingleTxtG"/>
        <w:rPr>
          <w:rFonts w:eastAsia="MS Mincho"/>
        </w:rPr>
      </w:pPr>
      <w:r>
        <w:rPr>
          <w:rFonts w:eastAsia="MS Mincho"/>
        </w:rPr>
        <w:t>5</w:t>
      </w:r>
      <w:r w:rsidR="001A4E44" w:rsidRPr="001A4E44">
        <w:rPr>
          <w:rFonts w:eastAsia="MS Mincho"/>
        </w:rPr>
        <w:t>.</w:t>
      </w:r>
      <w:r w:rsidR="001A4E44" w:rsidRPr="001A4E44">
        <w:rPr>
          <w:rFonts w:eastAsia="MS Mincho"/>
        </w:rPr>
        <w:tab/>
        <w:t>Article 19</w:t>
      </w:r>
      <w:r w:rsidR="00B55163">
        <w:rPr>
          <w:rFonts w:eastAsia="MS Mincho"/>
        </w:rPr>
        <w:t>(1)</w:t>
      </w:r>
      <w:r w:rsidR="001A4E44" w:rsidRPr="001A4E44">
        <w:rPr>
          <w:rFonts w:eastAsia="MS Mincho"/>
        </w:rPr>
        <w:t xml:space="preserve"> of the </w:t>
      </w:r>
      <w:hyperlink r:id="rId12" w:history="1">
        <w:r w:rsidR="001A4E44" w:rsidRPr="001A4E44">
          <w:rPr>
            <w:rFonts w:eastAsia="MS Mincho"/>
          </w:rPr>
          <w:t>International Covenant on Civil and Political Rights</w:t>
        </w:r>
      </w:hyperlink>
      <w:r w:rsidR="001A4E44" w:rsidRPr="001A4E44">
        <w:rPr>
          <w:rFonts w:eastAsia="MS Mincho"/>
        </w:rPr>
        <w:t xml:space="preserve"> (ICCPR) protects </w:t>
      </w:r>
      <w:r w:rsidR="00B55163">
        <w:rPr>
          <w:rFonts w:eastAsia="MS Mincho"/>
        </w:rPr>
        <w:t>the</w:t>
      </w:r>
      <w:r w:rsidR="00B55163" w:rsidRPr="001A4E44">
        <w:rPr>
          <w:rFonts w:eastAsia="MS Mincho"/>
        </w:rPr>
        <w:t xml:space="preserve"> </w:t>
      </w:r>
      <w:r w:rsidR="001A4E44" w:rsidRPr="001A4E44">
        <w:rPr>
          <w:rFonts w:eastAsia="MS Mincho"/>
        </w:rPr>
        <w:t xml:space="preserve">right to </w:t>
      </w:r>
      <w:r w:rsidR="00AC0286">
        <w:rPr>
          <w:rFonts w:eastAsia="MS Mincho"/>
        </w:rPr>
        <w:t>hold</w:t>
      </w:r>
      <w:r w:rsidR="001A4E44" w:rsidRPr="001A4E44">
        <w:rPr>
          <w:rFonts w:eastAsia="MS Mincho"/>
        </w:rPr>
        <w:t xml:space="preserve"> opinions without interference</w:t>
      </w:r>
      <w:r w:rsidR="00B55163">
        <w:rPr>
          <w:rFonts w:eastAsia="MS Mincho"/>
        </w:rPr>
        <w:t>,</w:t>
      </w:r>
      <w:r w:rsidR="001A4E44" w:rsidRPr="001A4E44">
        <w:rPr>
          <w:rFonts w:eastAsia="MS Mincho"/>
        </w:rPr>
        <w:t xml:space="preserve"> and</w:t>
      </w:r>
      <w:r w:rsidR="00B55163">
        <w:rPr>
          <w:rFonts w:eastAsia="MS Mincho"/>
        </w:rPr>
        <w:t xml:space="preserve"> Article 19(2)</w:t>
      </w:r>
      <w:r w:rsidR="001A4E44" w:rsidRPr="001A4E44">
        <w:rPr>
          <w:rFonts w:eastAsia="MS Mincho"/>
        </w:rPr>
        <w:t xml:space="preserve"> guarantees </w:t>
      </w:r>
      <w:r w:rsidR="00B55163">
        <w:rPr>
          <w:rFonts w:eastAsia="MS Mincho"/>
        </w:rPr>
        <w:t>the</w:t>
      </w:r>
      <w:r w:rsidR="003059B0">
        <w:rPr>
          <w:rFonts w:eastAsia="MS Mincho"/>
        </w:rPr>
        <w:t xml:space="preserve"> </w:t>
      </w:r>
      <w:r w:rsidR="003059B0">
        <w:rPr>
          <w:rFonts w:eastAsia="MS Mincho"/>
        </w:rPr>
        <w:lastRenderedPageBreak/>
        <w:t>freedom of expression, that is,</w:t>
      </w:r>
      <w:r w:rsidR="00AC0286">
        <w:rPr>
          <w:rFonts w:eastAsia="MS Mincho"/>
        </w:rPr>
        <w:t xml:space="preserve"> the</w:t>
      </w:r>
      <w:r w:rsidR="00B55163" w:rsidRPr="001A4E44">
        <w:rPr>
          <w:rFonts w:eastAsia="MS Mincho"/>
        </w:rPr>
        <w:t xml:space="preserve"> </w:t>
      </w:r>
      <w:r w:rsidR="001A4E44" w:rsidRPr="001A4E44">
        <w:rPr>
          <w:rFonts w:eastAsia="MS Mincho"/>
        </w:rPr>
        <w:t xml:space="preserve">right to seek, receive and impart information and ideas </w:t>
      </w:r>
      <w:r w:rsidR="001A4E44" w:rsidRPr="004078BC">
        <w:rPr>
          <w:rFonts w:eastAsia="MS Mincho"/>
        </w:rPr>
        <w:t>of all kinds</w:t>
      </w:r>
      <w:r w:rsidR="001A4E44" w:rsidRPr="001A4E44">
        <w:rPr>
          <w:rFonts w:eastAsia="MS Mincho"/>
        </w:rPr>
        <w:t>, regardless of frontiers, through any media. Numerous other treaties, global and regional, expressly protect the freedom of expression.</w:t>
      </w:r>
      <w:r w:rsidR="001A4E44" w:rsidRPr="001A4E44">
        <w:rPr>
          <w:rFonts w:eastAsia="MS Mincho"/>
          <w:sz w:val="18"/>
          <w:vertAlign w:val="superscript"/>
        </w:rPr>
        <w:footnoteReference w:id="8"/>
      </w:r>
      <w:r w:rsidR="001A4E44" w:rsidRPr="001A4E44">
        <w:rPr>
          <w:rFonts w:eastAsia="MS Mincho"/>
        </w:rPr>
        <w:t xml:space="preserve"> </w:t>
      </w:r>
      <w:r w:rsidR="00B55163">
        <w:rPr>
          <w:rFonts w:eastAsia="MS Mincho"/>
        </w:rPr>
        <w:t>T</w:t>
      </w:r>
      <w:r w:rsidR="00B55163" w:rsidRPr="001A4E44">
        <w:rPr>
          <w:rFonts w:eastAsia="MS Mincho"/>
        </w:rPr>
        <w:t xml:space="preserve">he </w:t>
      </w:r>
      <w:r w:rsidR="00B55163">
        <w:rPr>
          <w:rFonts w:eastAsia="MS Mincho"/>
        </w:rPr>
        <w:t xml:space="preserve">Human Rights </w:t>
      </w:r>
      <w:r w:rsidR="00B55163" w:rsidRPr="001A4E44">
        <w:rPr>
          <w:rFonts w:eastAsia="MS Mincho"/>
        </w:rPr>
        <w:t>Committee</w:t>
      </w:r>
      <w:r w:rsidR="00B55163">
        <w:rPr>
          <w:rFonts w:eastAsia="MS Mincho"/>
        </w:rPr>
        <w:t>, the ICCPR’s expert monitoring body,</w:t>
      </w:r>
      <w:r w:rsidR="00B55163" w:rsidRPr="001A4E44">
        <w:rPr>
          <w:rFonts w:eastAsia="MS Mincho"/>
        </w:rPr>
        <w:t xml:space="preserve"> has emphasized</w:t>
      </w:r>
      <w:r w:rsidR="001A4E44" w:rsidRPr="001A4E44">
        <w:rPr>
          <w:rFonts w:eastAsia="MS Mincho"/>
        </w:rPr>
        <w:t xml:space="preserve"> </w:t>
      </w:r>
      <w:r w:rsidR="00B55163">
        <w:rPr>
          <w:rFonts w:eastAsia="MS Mincho"/>
        </w:rPr>
        <w:t xml:space="preserve">that these freedoms </w:t>
      </w:r>
      <w:r w:rsidR="001A4E44" w:rsidRPr="001A4E44">
        <w:rPr>
          <w:rFonts w:eastAsia="MS Mincho"/>
        </w:rPr>
        <w:t>are “indispensable conditions for the full development of the person. . .</w:t>
      </w:r>
      <w:r w:rsidR="00B55163">
        <w:rPr>
          <w:rFonts w:eastAsia="MS Mincho"/>
        </w:rPr>
        <w:t xml:space="preserve"> [and]</w:t>
      </w:r>
      <w:r w:rsidR="001A4E44" w:rsidRPr="001A4E44">
        <w:rPr>
          <w:rFonts w:eastAsia="MS Mincho"/>
        </w:rPr>
        <w:t xml:space="preserve"> constitute the foundation stone for every free and democratic society.”</w:t>
      </w:r>
      <w:r w:rsidR="001A4E44" w:rsidRPr="001A4E44">
        <w:rPr>
          <w:rFonts w:eastAsia="MS Mincho"/>
          <w:sz w:val="18"/>
          <w:vertAlign w:val="superscript"/>
        </w:rPr>
        <w:footnoteReference w:id="9"/>
      </w:r>
      <w:r w:rsidR="001A4E44" w:rsidRPr="001A4E44">
        <w:rPr>
          <w:rFonts w:eastAsia="MS Mincho"/>
        </w:rPr>
        <w:t xml:space="preserve"> They “form a basis for the full enjoyment of a wide range of other human rights.”</w:t>
      </w:r>
      <w:r w:rsidR="001A4E44" w:rsidRPr="001A4E44">
        <w:rPr>
          <w:rFonts w:eastAsia="MS Mincho"/>
          <w:sz w:val="18"/>
          <w:vertAlign w:val="superscript"/>
        </w:rPr>
        <w:footnoteReference w:id="10"/>
      </w:r>
      <w:r w:rsidR="001A4E44" w:rsidRPr="001A4E44">
        <w:rPr>
          <w:rFonts w:eastAsia="MS Mincho"/>
        </w:rPr>
        <w:t xml:space="preserve"> </w:t>
      </w:r>
    </w:p>
    <w:p w14:paraId="195BFE11" w14:textId="696757B7" w:rsidR="001A4E44" w:rsidRPr="001A4E44" w:rsidRDefault="00B24EA8" w:rsidP="00B24EA8">
      <w:pPr>
        <w:pStyle w:val="SingleTxtG"/>
        <w:rPr>
          <w:rFonts w:eastAsia="MS Mincho"/>
        </w:rPr>
      </w:pPr>
      <w:r>
        <w:rPr>
          <w:rFonts w:eastAsia="MS Mincho"/>
        </w:rPr>
        <w:t>6</w:t>
      </w:r>
      <w:r w:rsidR="001A4E44" w:rsidRPr="001A4E44">
        <w:rPr>
          <w:rFonts w:eastAsia="MS Mincho"/>
        </w:rPr>
        <w:t>.</w:t>
      </w:r>
      <w:r w:rsidR="001A4E44" w:rsidRPr="001A4E44">
        <w:rPr>
          <w:rFonts w:eastAsia="MS Mincho"/>
        </w:rPr>
        <w:tab/>
        <w:t xml:space="preserve">Since the freedom of expression is fundamental to the enjoyment of all human rights, restrictions on </w:t>
      </w:r>
      <w:r w:rsidR="00B55163">
        <w:rPr>
          <w:rFonts w:eastAsia="MS Mincho"/>
        </w:rPr>
        <w:t>it</w:t>
      </w:r>
      <w:r w:rsidR="001A4E44" w:rsidRPr="001A4E44">
        <w:rPr>
          <w:rFonts w:eastAsia="MS Mincho"/>
        </w:rPr>
        <w:t xml:space="preserve"> must be exceptional</w:t>
      </w:r>
      <w:r w:rsidR="00B55163">
        <w:rPr>
          <w:rFonts w:eastAsia="MS Mincho"/>
        </w:rPr>
        <w:t>,</w:t>
      </w:r>
      <w:r w:rsidR="001A4E44" w:rsidRPr="001A4E44">
        <w:rPr>
          <w:rFonts w:eastAsia="MS Mincho"/>
        </w:rPr>
        <w:t xml:space="preserve"> subject to narrow conditions and strict oversight. The </w:t>
      </w:r>
      <w:r w:rsidR="00B55163">
        <w:rPr>
          <w:rFonts w:eastAsia="MS Mincho"/>
        </w:rPr>
        <w:t xml:space="preserve">Human Rights </w:t>
      </w:r>
      <w:r w:rsidR="001A4E44" w:rsidRPr="001A4E44">
        <w:rPr>
          <w:rFonts w:eastAsia="MS Mincho"/>
        </w:rPr>
        <w:t xml:space="preserve">Committee has </w:t>
      </w:r>
      <w:r w:rsidR="00B55163">
        <w:rPr>
          <w:rFonts w:eastAsia="MS Mincho"/>
        </w:rPr>
        <w:t>underlined</w:t>
      </w:r>
      <w:r w:rsidR="00B55163" w:rsidRPr="001A4E44">
        <w:rPr>
          <w:rFonts w:eastAsia="MS Mincho"/>
        </w:rPr>
        <w:t xml:space="preserve"> </w:t>
      </w:r>
      <w:r w:rsidR="001A4E44" w:rsidRPr="001A4E44">
        <w:rPr>
          <w:rFonts w:eastAsia="MS Mincho"/>
        </w:rPr>
        <w:t>that restrictions</w:t>
      </w:r>
      <w:r w:rsidR="00B55163">
        <w:rPr>
          <w:rFonts w:eastAsia="MS Mincho"/>
        </w:rPr>
        <w:t>, even when warranted,</w:t>
      </w:r>
      <w:r w:rsidR="001A4E44" w:rsidRPr="001A4E44">
        <w:rPr>
          <w:rFonts w:eastAsia="MS Mincho"/>
        </w:rPr>
        <w:t xml:space="preserve"> “may not put in jeopardy the right itself”.</w:t>
      </w:r>
      <w:r w:rsidR="001A4E44" w:rsidRPr="001A4E44">
        <w:rPr>
          <w:rFonts w:eastAsia="MS Mincho"/>
          <w:sz w:val="18"/>
          <w:vertAlign w:val="superscript"/>
        </w:rPr>
        <w:footnoteReference w:id="11"/>
      </w:r>
      <w:r w:rsidR="001A4E44" w:rsidRPr="001A4E44">
        <w:rPr>
          <w:rFonts w:eastAsia="MS Mincho"/>
        </w:rPr>
        <w:t xml:space="preserve"> Article 19(3)</w:t>
      </w:r>
      <w:r w:rsidR="002208DA">
        <w:rPr>
          <w:rFonts w:eastAsia="MS Mincho"/>
        </w:rPr>
        <w:t xml:space="preserve"> of the ICCPR</w:t>
      </w:r>
      <w:r w:rsidR="001A4E44" w:rsidRPr="001A4E44">
        <w:rPr>
          <w:rFonts w:eastAsia="MS Mincho"/>
        </w:rPr>
        <w:t xml:space="preserve"> </w:t>
      </w:r>
      <w:r w:rsidR="00B55163">
        <w:rPr>
          <w:rFonts w:eastAsia="MS Mincho"/>
        </w:rPr>
        <w:t>illuminates</w:t>
      </w:r>
      <w:r w:rsidR="00B55163" w:rsidRPr="001A4E44">
        <w:rPr>
          <w:rFonts w:eastAsia="MS Mincho"/>
        </w:rPr>
        <w:t xml:space="preserve"> </w:t>
      </w:r>
      <w:r w:rsidR="001A4E44" w:rsidRPr="001A4E44">
        <w:rPr>
          <w:rFonts w:eastAsia="MS Mincho"/>
        </w:rPr>
        <w:t>the exceptional nature of limitations, recognizing that States may restrict expression under Article 19(2) only where provided by law and necessary to protect “the rights or reputations of others, national security or public order, or public health or morals.” These are narrowly drawn exceptions</w:t>
      </w:r>
      <w:r w:rsidR="005F1F0E">
        <w:rPr>
          <w:rFonts w:eastAsia="MS Mincho"/>
        </w:rPr>
        <w:t>,</w:t>
      </w:r>
      <w:r w:rsidR="001A4E44" w:rsidRPr="001A4E44">
        <w:rPr>
          <w:rFonts w:eastAsia="MS Mincho"/>
          <w:sz w:val="18"/>
          <w:vertAlign w:val="superscript"/>
        </w:rPr>
        <w:footnoteReference w:id="12"/>
      </w:r>
      <w:r w:rsidR="005F1F0E">
        <w:rPr>
          <w:rFonts w:eastAsia="MS Mincho"/>
        </w:rPr>
        <w:t xml:space="preserve"> and the burden falls on the authority restricting speech to justify the restriction, not on the speaker to demonstrate she has the right.</w:t>
      </w:r>
      <w:r w:rsidR="005F1F0E">
        <w:rPr>
          <w:rStyle w:val="FootnoteReference"/>
          <w:rFonts w:eastAsia="MS Mincho"/>
        </w:rPr>
        <w:footnoteReference w:id="13"/>
      </w:r>
      <w:r w:rsidR="001A4E44" w:rsidRPr="001A4E44">
        <w:rPr>
          <w:rFonts w:eastAsia="MS Mincho"/>
        </w:rPr>
        <w:t xml:space="preserve"> </w:t>
      </w:r>
      <w:r w:rsidR="003059B0">
        <w:rPr>
          <w:rFonts w:eastAsia="MS Mincho"/>
        </w:rPr>
        <w:t>A</w:t>
      </w:r>
      <w:r w:rsidR="001A4E44" w:rsidRPr="001A4E44">
        <w:rPr>
          <w:rFonts w:eastAsia="MS Mincho"/>
        </w:rPr>
        <w:t>ny li</w:t>
      </w:r>
      <w:r>
        <w:rPr>
          <w:rFonts w:eastAsia="MS Mincho"/>
        </w:rPr>
        <w:t>mitation</w:t>
      </w:r>
      <w:r w:rsidR="00B55163">
        <w:rPr>
          <w:rFonts w:eastAsia="MS Mincho"/>
        </w:rPr>
        <w:t>s</w:t>
      </w:r>
      <w:r>
        <w:rPr>
          <w:rFonts w:eastAsia="MS Mincho"/>
        </w:rPr>
        <w:t xml:space="preserve"> must </w:t>
      </w:r>
      <w:r w:rsidR="00B55163">
        <w:rPr>
          <w:rFonts w:eastAsia="MS Mincho"/>
        </w:rPr>
        <w:t>meet three conditions</w:t>
      </w:r>
      <w:r>
        <w:rPr>
          <w:rFonts w:eastAsia="MS Mincho"/>
        </w:rPr>
        <w:t>:</w:t>
      </w:r>
    </w:p>
    <w:p w14:paraId="792E9AC7" w14:textId="5E860EE7" w:rsidR="001A4E44" w:rsidRPr="001A4E44" w:rsidRDefault="001A4E44" w:rsidP="00F15331">
      <w:pPr>
        <w:pStyle w:val="SingleTxtG"/>
        <w:numPr>
          <w:ilvl w:val="0"/>
          <w:numId w:val="27"/>
        </w:numPr>
        <w:ind w:left="1134" w:firstLine="567"/>
        <w:rPr>
          <w:rFonts w:eastAsia="MS Mincho"/>
          <w:lang w:eastAsia="en-GB"/>
        </w:rPr>
      </w:pPr>
      <w:r w:rsidRPr="001A4E44">
        <w:rPr>
          <w:rFonts w:eastAsia="MS Mincho"/>
          <w:i/>
          <w:iCs/>
          <w:lang w:eastAsia="en-GB"/>
        </w:rPr>
        <w:t>Legality</w:t>
      </w:r>
      <w:r w:rsidRPr="001A4E44">
        <w:rPr>
          <w:rFonts w:eastAsia="MS Mincho"/>
          <w:lang w:eastAsia="en-GB"/>
        </w:rPr>
        <w:t xml:space="preserve">: </w:t>
      </w:r>
      <w:r w:rsidR="00EC4D20">
        <w:rPr>
          <w:rFonts w:eastAsia="MS Mincho"/>
          <w:lang w:eastAsia="en-GB"/>
        </w:rPr>
        <w:t>p</w:t>
      </w:r>
      <w:r w:rsidRPr="001A4E44">
        <w:rPr>
          <w:rFonts w:eastAsia="MS Mincho"/>
          <w:lang w:eastAsia="en-GB"/>
        </w:rPr>
        <w:t>rovided by law that is precise, public</w:t>
      </w:r>
      <w:r w:rsidR="003059B0">
        <w:rPr>
          <w:rFonts w:eastAsia="MS Mincho"/>
          <w:lang w:eastAsia="en-GB"/>
        </w:rPr>
        <w:t>,</w:t>
      </w:r>
      <w:r w:rsidRPr="001A4E44">
        <w:rPr>
          <w:rFonts w:eastAsia="MS Mincho"/>
          <w:lang w:eastAsia="en-GB"/>
        </w:rPr>
        <w:t xml:space="preserve"> and transparent, avoids providing authorities with unbounded discretion</w:t>
      </w:r>
      <w:r w:rsidR="00B82F5F">
        <w:rPr>
          <w:rFonts w:eastAsia="MS Mincho"/>
          <w:lang w:eastAsia="en-GB"/>
        </w:rPr>
        <w:t>, and gives appropriate notice to those whose speech is regulated</w:t>
      </w:r>
      <w:r w:rsidRPr="001A4E44">
        <w:rPr>
          <w:rFonts w:eastAsia="MS Mincho"/>
          <w:lang w:eastAsia="en-GB"/>
        </w:rPr>
        <w:t>. Rules should be subject to public comment and regular legislative or administrative process. Procedural safeguards, especially those guaranteed by independent courts or tribunals, should protect r</w:t>
      </w:r>
      <w:r w:rsidR="00B24EA8">
        <w:rPr>
          <w:rFonts w:eastAsia="MS Mincho"/>
          <w:lang w:eastAsia="en-GB"/>
        </w:rPr>
        <w:t>ights.</w:t>
      </w:r>
    </w:p>
    <w:p w14:paraId="0BF4C4E0" w14:textId="0770CE84" w:rsidR="001A4E44" w:rsidRPr="001A4E44" w:rsidRDefault="001A4E44" w:rsidP="00F15331">
      <w:pPr>
        <w:pStyle w:val="SingleTxtG"/>
        <w:numPr>
          <w:ilvl w:val="0"/>
          <w:numId w:val="27"/>
        </w:numPr>
        <w:ind w:left="1134" w:firstLine="567"/>
        <w:rPr>
          <w:rFonts w:eastAsia="MS Mincho"/>
          <w:lang w:eastAsia="en-GB"/>
        </w:rPr>
      </w:pPr>
      <w:r w:rsidRPr="001A4E44">
        <w:rPr>
          <w:rFonts w:eastAsia="MS Mincho"/>
          <w:i/>
          <w:iCs/>
          <w:lang w:eastAsia="en-GB"/>
        </w:rPr>
        <w:t xml:space="preserve">Legitimacy: </w:t>
      </w:r>
      <w:r w:rsidR="00EC4D20">
        <w:rPr>
          <w:rFonts w:eastAsia="MS Mincho"/>
          <w:lang w:eastAsia="en-GB"/>
        </w:rPr>
        <w:t>j</w:t>
      </w:r>
      <w:r w:rsidRPr="001A4E44">
        <w:rPr>
          <w:rFonts w:eastAsia="MS Mincho"/>
          <w:lang w:eastAsia="en-GB"/>
        </w:rPr>
        <w:t xml:space="preserve">ustified to protect </w:t>
      </w:r>
      <w:r w:rsidR="005A3AFB">
        <w:rPr>
          <w:rFonts w:eastAsia="MS Mincho"/>
          <w:lang w:eastAsia="en-GB"/>
        </w:rPr>
        <w:t xml:space="preserve">one or more of the </w:t>
      </w:r>
      <w:r w:rsidRPr="001A4E44">
        <w:rPr>
          <w:rFonts w:eastAsia="MS Mincho"/>
          <w:lang w:eastAsia="en-GB"/>
        </w:rPr>
        <w:t>interests</w:t>
      </w:r>
      <w:r w:rsidR="00EC4D20">
        <w:rPr>
          <w:rFonts w:eastAsia="MS Mincho"/>
          <w:lang w:eastAsia="en-GB"/>
        </w:rPr>
        <w:t xml:space="preserve"> specified in Article 19(3)</w:t>
      </w:r>
      <w:r w:rsidR="002208DA">
        <w:rPr>
          <w:rFonts w:eastAsia="MS Mincho"/>
          <w:lang w:eastAsia="en-GB"/>
        </w:rPr>
        <w:t xml:space="preserve"> –</w:t>
      </w:r>
      <w:r w:rsidRPr="001A4E44">
        <w:rPr>
          <w:rFonts w:eastAsia="MS Mincho"/>
          <w:lang w:eastAsia="en-GB"/>
        </w:rPr>
        <w:t xml:space="preserve"> rights</w:t>
      </w:r>
      <w:r w:rsidR="002208DA">
        <w:rPr>
          <w:rFonts w:eastAsia="MS Mincho"/>
          <w:lang w:eastAsia="en-GB"/>
        </w:rPr>
        <w:t xml:space="preserve"> </w:t>
      </w:r>
      <w:r w:rsidRPr="001A4E44">
        <w:rPr>
          <w:rFonts w:eastAsia="MS Mincho"/>
          <w:lang w:eastAsia="en-GB"/>
        </w:rPr>
        <w:t xml:space="preserve">or reputations of others; national security; public order; public health or morals. </w:t>
      </w:r>
    </w:p>
    <w:p w14:paraId="48316D29" w14:textId="1D11D864" w:rsidR="001A4E44" w:rsidRPr="004078BC" w:rsidRDefault="001A4E44" w:rsidP="00F15331">
      <w:pPr>
        <w:pStyle w:val="SingleTxtG"/>
        <w:numPr>
          <w:ilvl w:val="0"/>
          <w:numId w:val="27"/>
        </w:numPr>
        <w:ind w:left="1134" w:firstLine="567"/>
        <w:rPr>
          <w:rFonts w:eastAsia="MS Mincho"/>
          <w:lang w:val="en-US" w:eastAsia="en-GB"/>
        </w:rPr>
      </w:pPr>
      <w:r w:rsidRPr="001A4E44">
        <w:rPr>
          <w:rFonts w:eastAsia="MS Mincho"/>
          <w:i/>
          <w:iCs/>
          <w:lang w:eastAsia="en-GB"/>
        </w:rPr>
        <w:t>Necessity and propo</w:t>
      </w:r>
      <w:r w:rsidR="00B82F5F">
        <w:rPr>
          <w:rFonts w:eastAsia="MS Mincho"/>
          <w:i/>
          <w:iCs/>
          <w:lang w:eastAsia="en-GB"/>
        </w:rPr>
        <w:t>r</w:t>
      </w:r>
      <w:r w:rsidRPr="001A4E44">
        <w:rPr>
          <w:rFonts w:eastAsia="MS Mincho"/>
          <w:i/>
          <w:iCs/>
          <w:lang w:eastAsia="en-GB"/>
        </w:rPr>
        <w:t xml:space="preserve">tionality: </w:t>
      </w:r>
      <w:r w:rsidR="00EC4D20">
        <w:rPr>
          <w:rFonts w:eastAsia="MS Mincho"/>
          <w:lang w:eastAsia="en-GB"/>
        </w:rPr>
        <w:t>d</w:t>
      </w:r>
      <w:r w:rsidRPr="001A4E44">
        <w:rPr>
          <w:rFonts w:eastAsia="MS Mincho"/>
          <w:lang w:eastAsia="en-GB"/>
        </w:rPr>
        <w:t>emonstrated by the State as necessary to protect the legitimate interest</w:t>
      </w:r>
      <w:r w:rsidR="00665D47">
        <w:rPr>
          <w:rFonts w:eastAsia="MS Mincho"/>
          <w:lang w:eastAsia="en-GB"/>
        </w:rPr>
        <w:t xml:space="preserve"> and</w:t>
      </w:r>
      <w:r w:rsidR="00665D47" w:rsidRPr="00665D47">
        <w:rPr>
          <w:rFonts w:eastAsia="MS Mincho"/>
          <w:lang w:eastAsia="en-GB"/>
        </w:rPr>
        <w:t xml:space="preserve"> </w:t>
      </w:r>
      <w:r w:rsidR="00665D47" w:rsidRPr="001A4E44">
        <w:rPr>
          <w:rFonts w:eastAsia="MS Mincho"/>
          <w:lang w:eastAsia="en-GB"/>
        </w:rPr>
        <w:t>the least restrictive means</w:t>
      </w:r>
      <w:r w:rsidR="00665D47">
        <w:rPr>
          <w:rFonts w:eastAsia="MS Mincho"/>
          <w:lang w:eastAsia="en-GB"/>
        </w:rPr>
        <w:t xml:space="preserve"> to achieve the purported aim.  The Human Rights Committee has referred to these as “strict tests” according to which restrictions “</w:t>
      </w:r>
      <w:r w:rsidR="00665D47" w:rsidRPr="00665D47">
        <w:rPr>
          <w:rFonts w:eastAsia="MS Mincho"/>
          <w:lang w:val="en-US" w:eastAsia="en-GB"/>
        </w:rPr>
        <w:t>must be applied only for those purposes for which they were prescribed and must be directly related to the specific need on which they are predicated</w:t>
      </w:r>
      <w:r w:rsidR="00665D47">
        <w:rPr>
          <w:rFonts w:eastAsia="MS Mincho"/>
          <w:lang w:val="en-US" w:eastAsia="en-GB"/>
        </w:rPr>
        <w:t>.”</w:t>
      </w:r>
      <w:r w:rsidR="00293FCD" w:rsidRPr="001A4E44">
        <w:rPr>
          <w:rFonts w:eastAsia="MS Mincho"/>
          <w:vertAlign w:val="superscript"/>
          <w:lang w:eastAsia="en-GB"/>
        </w:rPr>
        <w:footnoteReference w:id="14"/>
      </w:r>
      <w:r w:rsidRPr="00665D47">
        <w:rPr>
          <w:rFonts w:eastAsia="MS Mincho"/>
          <w:lang w:eastAsia="en-GB"/>
        </w:rPr>
        <w:t xml:space="preserve"> </w:t>
      </w:r>
    </w:p>
    <w:p w14:paraId="2B35A90B" w14:textId="5E4DB613" w:rsidR="001A4E44" w:rsidRPr="001A4E44" w:rsidRDefault="00B24EA8" w:rsidP="00B24EA8">
      <w:pPr>
        <w:pStyle w:val="SingleTxtG"/>
        <w:rPr>
          <w:rFonts w:eastAsia="MS Mincho"/>
        </w:rPr>
      </w:pPr>
      <w:r>
        <w:rPr>
          <w:rFonts w:eastAsia="MS Mincho"/>
        </w:rPr>
        <w:t>7</w:t>
      </w:r>
      <w:r w:rsidR="001A4E44" w:rsidRPr="001A4E44">
        <w:rPr>
          <w:rFonts w:eastAsia="MS Mincho"/>
        </w:rPr>
        <w:t>.</w:t>
      </w:r>
      <w:r w:rsidR="001A4E44" w:rsidRPr="001A4E44">
        <w:rPr>
          <w:rFonts w:eastAsia="MS Mincho"/>
        </w:rPr>
        <w:tab/>
      </w:r>
      <w:r w:rsidR="00EC4D20" w:rsidRPr="001A4E44">
        <w:rPr>
          <w:rFonts w:eastAsia="MS Mincho"/>
        </w:rPr>
        <w:t>States regularly assert proper purposes for limitations on expression but fail to demonstrate that their limitations meet the tests of legality or necessity and proportionality.</w:t>
      </w:r>
      <w:r w:rsidR="00EC4D20" w:rsidRPr="001A4E44">
        <w:rPr>
          <w:rFonts w:eastAsia="MS Mincho"/>
          <w:sz w:val="18"/>
          <w:vertAlign w:val="superscript"/>
        </w:rPr>
        <w:footnoteReference w:id="15"/>
      </w:r>
      <w:r w:rsidR="00EC4D20" w:rsidRPr="001A4E44">
        <w:rPr>
          <w:rFonts w:eastAsia="MS Mincho"/>
        </w:rPr>
        <w:t xml:space="preserve"> For this reason, the rules </w:t>
      </w:r>
      <w:r w:rsidR="002208DA">
        <w:rPr>
          <w:rFonts w:eastAsia="MS Mincho"/>
        </w:rPr>
        <w:t xml:space="preserve">are to </w:t>
      </w:r>
      <w:r w:rsidR="00EC4D20" w:rsidRPr="001A4E44">
        <w:rPr>
          <w:rFonts w:eastAsia="MS Mincho"/>
        </w:rPr>
        <w:t>be applied strictly and in good faith</w:t>
      </w:r>
      <w:r w:rsidR="002208DA">
        <w:rPr>
          <w:rFonts w:eastAsia="MS Mincho"/>
        </w:rPr>
        <w:t>,</w:t>
      </w:r>
      <w:r w:rsidR="00EC4D20" w:rsidRPr="001A4E44">
        <w:rPr>
          <w:rFonts w:eastAsia="MS Mincho"/>
        </w:rPr>
        <w:t xml:space="preserve"> </w:t>
      </w:r>
      <w:r w:rsidR="002208DA">
        <w:rPr>
          <w:rFonts w:eastAsia="MS Mincho"/>
        </w:rPr>
        <w:t>with</w:t>
      </w:r>
      <w:r w:rsidR="00EC4D20" w:rsidRPr="001A4E44">
        <w:rPr>
          <w:rFonts w:eastAsia="MS Mincho"/>
        </w:rPr>
        <w:t xml:space="preserve"> robust and transp</w:t>
      </w:r>
      <w:r w:rsidR="00EC4D20">
        <w:rPr>
          <w:rFonts w:eastAsia="MS Mincho"/>
        </w:rPr>
        <w:t xml:space="preserve">arent oversight available. </w:t>
      </w:r>
      <w:r w:rsidR="001A4E44" w:rsidRPr="001A4E44">
        <w:rPr>
          <w:rFonts w:eastAsia="MS Mincho"/>
        </w:rPr>
        <w:t xml:space="preserve">Article 2 of the ICCPR obligates States to ensure that individuals seeking remedy for an ICCPR violation have that right “determined by </w:t>
      </w:r>
      <w:r w:rsidR="001A4E44" w:rsidRPr="001A4E44">
        <w:rPr>
          <w:rFonts w:eastAsia="MS Mincho"/>
        </w:rPr>
        <w:lastRenderedPageBreak/>
        <w:t>competent judicial, administrative or legislative authorities, or by any other competent authority provided for by the legal system of the State”.</w:t>
      </w:r>
      <w:r w:rsidR="001A4E44" w:rsidRPr="001A4E44">
        <w:rPr>
          <w:rFonts w:eastAsia="MS Mincho"/>
          <w:sz w:val="18"/>
          <w:vertAlign w:val="superscript"/>
        </w:rPr>
        <w:footnoteReference w:id="16"/>
      </w:r>
      <w:r w:rsidR="001A4E44" w:rsidRPr="001A4E44">
        <w:rPr>
          <w:rFonts w:eastAsia="MS Mincho"/>
        </w:rPr>
        <w:t xml:space="preserve"> </w:t>
      </w:r>
    </w:p>
    <w:p w14:paraId="44A2DB18" w14:textId="5F8E7073" w:rsidR="001A4E44" w:rsidRPr="00B24EA8" w:rsidRDefault="00B24EA8" w:rsidP="00B24EA8">
      <w:pPr>
        <w:pStyle w:val="H23G"/>
        <w:rPr>
          <w:rFonts w:eastAsia="MS Mincho"/>
        </w:rPr>
      </w:pPr>
      <w:r>
        <w:rPr>
          <w:rFonts w:eastAsia="MS Mincho"/>
        </w:rPr>
        <w:tab/>
      </w:r>
      <w:r>
        <w:rPr>
          <w:rFonts w:eastAsia="MS Mincho"/>
        </w:rPr>
        <w:tab/>
      </w:r>
      <w:r w:rsidR="00D47079">
        <w:rPr>
          <w:rFonts w:eastAsia="MS Mincho"/>
        </w:rPr>
        <w:t>‘</w:t>
      </w:r>
      <w:r w:rsidR="00923D56">
        <w:rPr>
          <w:rFonts w:eastAsia="MS Mincho"/>
        </w:rPr>
        <w:t xml:space="preserve">Advocacy of hatred </w:t>
      </w:r>
      <w:r w:rsidR="00D47079">
        <w:rPr>
          <w:rFonts w:eastAsia="MS Mincho"/>
        </w:rPr>
        <w:t>that constitutes incitement’</w:t>
      </w:r>
    </w:p>
    <w:p w14:paraId="457A8BFB" w14:textId="3DDD0093" w:rsidR="00D4268F" w:rsidRDefault="00B24EA8" w:rsidP="00B24EA8">
      <w:pPr>
        <w:pStyle w:val="SingleTxtG"/>
        <w:rPr>
          <w:rFonts w:eastAsia="MS Mincho"/>
        </w:rPr>
      </w:pPr>
      <w:r>
        <w:rPr>
          <w:rFonts w:eastAsia="MS Mincho"/>
        </w:rPr>
        <w:t>8</w:t>
      </w:r>
      <w:r w:rsidR="001A4E44" w:rsidRPr="001A4E44">
        <w:rPr>
          <w:rFonts w:eastAsia="MS Mincho"/>
        </w:rPr>
        <w:t>.</w:t>
      </w:r>
      <w:r w:rsidR="001A4E44" w:rsidRPr="001A4E44">
        <w:rPr>
          <w:rFonts w:eastAsia="MS Mincho"/>
        </w:rPr>
        <w:tab/>
        <w:t>Article 20(2) of the ICCPR</w:t>
      </w:r>
      <w:r w:rsidR="009B7368">
        <w:rPr>
          <w:rFonts w:eastAsia="MS Mincho"/>
        </w:rPr>
        <w:t xml:space="preserve"> </w:t>
      </w:r>
      <w:r w:rsidR="001A4E44" w:rsidRPr="001A4E44">
        <w:rPr>
          <w:rFonts w:eastAsia="MS Mincho"/>
        </w:rPr>
        <w:t xml:space="preserve">obligates States parties to prohibit by law “[a]ny advocacy of national, racial or religious hatred that constitutes incitement to discrimination, hostility or violence”. It does not obligate States to </w:t>
      </w:r>
      <w:r w:rsidR="001A4E44" w:rsidRPr="004078BC">
        <w:rPr>
          <w:rFonts w:eastAsia="MS Mincho"/>
          <w:i/>
          <w:iCs/>
        </w:rPr>
        <w:t>criminalize</w:t>
      </w:r>
      <w:r w:rsidR="001A4E44" w:rsidRPr="001A4E44">
        <w:rPr>
          <w:rFonts w:eastAsia="MS Mincho"/>
        </w:rPr>
        <w:t xml:space="preserve"> Article 20(2) expression. The previous Special Rapporteur explained that Article 20(2) </w:t>
      </w:r>
      <w:r w:rsidR="002208DA">
        <w:rPr>
          <w:rFonts w:eastAsia="MS Mincho"/>
        </w:rPr>
        <w:t>relates to</w:t>
      </w:r>
      <w:r w:rsidR="001A4E44" w:rsidRPr="001A4E44">
        <w:rPr>
          <w:rFonts w:eastAsia="MS Mincho"/>
        </w:rPr>
        <w:t xml:space="preserve"> (1) “advocacy of hatred,” (2) “advocacy which constitutes incitement,” and (3) incitement </w:t>
      </w:r>
      <w:r w:rsidR="00A43499">
        <w:rPr>
          <w:rFonts w:eastAsia="MS Mincho"/>
        </w:rPr>
        <w:t>likely to result</w:t>
      </w:r>
      <w:r w:rsidR="001A4E44" w:rsidRPr="001A4E44">
        <w:rPr>
          <w:rFonts w:eastAsia="MS Mincho"/>
        </w:rPr>
        <w:t xml:space="preserve"> in discrimination, hostility or violence.</w:t>
      </w:r>
      <w:r w:rsidR="001A4E44" w:rsidRPr="001A4E44">
        <w:rPr>
          <w:rFonts w:eastAsia="MS Mincho"/>
          <w:sz w:val="18"/>
          <w:vertAlign w:val="superscript"/>
        </w:rPr>
        <w:footnoteReference w:id="17"/>
      </w:r>
      <w:r w:rsidR="001A4E44" w:rsidRPr="001A4E44">
        <w:rPr>
          <w:rFonts w:eastAsia="MS Mincho"/>
        </w:rPr>
        <w:t xml:space="preserve"> </w:t>
      </w:r>
    </w:p>
    <w:p w14:paraId="36BC083A" w14:textId="494DEF5D" w:rsidR="001A4E44" w:rsidRPr="00B24EA8" w:rsidRDefault="00D4268F" w:rsidP="00B24EA8">
      <w:pPr>
        <w:pStyle w:val="SingleTxtG"/>
        <w:rPr>
          <w:rFonts w:eastAsia="MS Mincho"/>
        </w:rPr>
      </w:pPr>
      <w:r>
        <w:rPr>
          <w:rFonts w:eastAsia="MS Mincho"/>
        </w:rPr>
        <w:t>9.</w:t>
      </w:r>
      <w:r>
        <w:rPr>
          <w:rFonts w:eastAsia="MS Mincho"/>
        </w:rPr>
        <w:tab/>
        <w:t xml:space="preserve">UN </w:t>
      </w:r>
      <w:r w:rsidR="001A4E44" w:rsidRPr="001A4E44">
        <w:rPr>
          <w:rFonts w:eastAsia="MS Mincho"/>
        </w:rPr>
        <w:t xml:space="preserve">human rights </w:t>
      </w:r>
      <w:r>
        <w:rPr>
          <w:rFonts w:eastAsia="MS Mincho"/>
        </w:rPr>
        <w:t>standards offer</w:t>
      </w:r>
      <w:r w:rsidR="001A4E44" w:rsidRPr="001A4E44">
        <w:rPr>
          <w:rFonts w:eastAsia="MS Mincho"/>
        </w:rPr>
        <w:t xml:space="preserve"> broad</w:t>
      </w:r>
      <w:r w:rsidR="00050B37">
        <w:rPr>
          <w:rFonts w:eastAsia="MS Mincho"/>
        </w:rPr>
        <w:t>er</w:t>
      </w:r>
      <w:r w:rsidR="001A4E44" w:rsidRPr="001A4E44">
        <w:rPr>
          <w:rFonts w:eastAsia="MS Mincho"/>
        </w:rPr>
        <w:t xml:space="preserve"> protection against discrimination</w:t>
      </w:r>
      <w:r w:rsidR="00923D56">
        <w:rPr>
          <w:rFonts w:eastAsia="MS Mincho"/>
        </w:rPr>
        <w:t xml:space="preserve"> than </w:t>
      </w:r>
      <w:r w:rsidR="00923D56" w:rsidRPr="001A4E44">
        <w:rPr>
          <w:rFonts w:eastAsia="MS Mincho"/>
        </w:rPr>
        <w:t>Article 20(2)</w:t>
      </w:r>
      <w:r w:rsidR="00923D56">
        <w:rPr>
          <w:rFonts w:eastAsia="MS Mincho"/>
        </w:rPr>
        <w:t>’s</w:t>
      </w:r>
      <w:r w:rsidR="00923D56" w:rsidRPr="001A4E44">
        <w:rPr>
          <w:rFonts w:eastAsia="MS Mincho"/>
        </w:rPr>
        <w:t xml:space="preserve"> </w:t>
      </w:r>
      <w:r w:rsidR="00050B37">
        <w:rPr>
          <w:rFonts w:eastAsia="MS Mincho"/>
        </w:rPr>
        <w:t>attention</w:t>
      </w:r>
      <w:r w:rsidR="00923D56">
        <w:rPr>
          <w:rFonts w:eastAsia="MS Mincho"/>
        </w:rPr>
        <w:t xml:space="preserve"> to</w:t>
      </w:r>
      <w:r w:rsidR="00923D56" w:rsidRPr="001A4E44">
        <w:rPr>
          <w:rFonts w:eastAsia="MS Mincho"/>
        </w:rPr>
        <w:t xml:space="preserve"> national, racial</w:t>
      </w:r>
      <w:r w:rsidR="00050B37">
        <w:rPr>
          <w:rFonts w:eastAsia="MS Mincho"/>
        </w:rPr>
        <w:t xml:space="preserve"> or</w:t>
      </w:r>
      <w:r w:rsidR="00923D56" w:rsidRPr="001A4E44">
        <w:rPr>
          <w:rFonts w:eastAsia="MS Mincho"/>
        </w:rPr>
        <w:t xml:space="preserve"> religious</w:t>
      </w:r>
      <w:r w:rsidR="00923D56">
        <w:rPr>
          <w:rFonts w:eastAsia="MS Mincho"/>
        </w:rPr>
        <w:t xml:space="preserve"> hatred</w:t>
      </w:r>
      <w:r>
        <w:rPr>
          <w:rFonts w:eastAsia="MS Mincho"/>
        </w:rPr>
        <w:t>.</w:t>
      </w:r>
      <w:r w:rsidR="00364487" w:rsidRPr="001A4E44">
        <w:rPr>
          <w:rFonts w:eastAsia="MS Mincho"/>
        </w:rPr>
        <w:t xml:space="preserve"> Article 2</w:t>
      </w:r>
      <w:r w:rsidR="00923D56">
        <w:rPr>
          <w:rFonts w:eastAsia="MS Mincho"/>
        </w:rPr>
        <w:t xml:space="preserve"> of the ICCPR</w:t>
      </w:r>
      <w:r w:rsidR="00364487" w:rsidRPr="001A4E44">
        <w:rPr>
          <w:rFonts w:eastAsia="MS Mincho"/>
        </w:rPr>
        <w:t xml:space="preserve"> guarantees rights “without distinction of any kind”</w:t>
      </w:r>
      <w:r w:rsidR="00050B37">
        <w:rPr>
          <w:rFonts w:eastAsia="MS Mincho"/>
        </w:rPr>
        <w:t>,</w:t>
      </w:r>
      <w:r w:rsidR="00923D56">
        <w:rPr>
          <w:rFonts w:eastAsia="MS Mincho"/>
        </w:rPr>
        <w:t xml:space="preserve"> and</w:t>
      </w:r>
      <w:r w:rsidR="00050B37">
        <w:rPr>
          <w:rFonts w:eastAsia="MS Mincho"/>
        </w:rPr>
        <w:t xml:space="preserve"> </w:t>
      </w:r>
      <w:r w:rsidR="00364487" w:rsidRPr="001A4E44">
        <w:rPr>
          <w:rFonts w:eastAsia="MS Mincho"/>
        </w:rPr>
        <w:t xml:space="preserve">Article 26 expressly provides that “the law shall prohibit any discrimination and guarantee to all persons equal and effective protection against discrimination on any ground”. </w:t>
      </w:r>
      <w:r w:rsidR="00364487">
        <w:rPr>
          <w:rFonts w:eastAsia="MS Mincho"/>
        </w:rPr>
        <w:t>International standards</w:t>
      </w:r>
      <w:r>
        <w:rPr>
          <w:rFonts w:eastAsia="MS Mincho"/>
        </w:rPr>
        <w:t xml:space="preserve"> </w:t>
      </w:r>
      <w:r w:rsidR="001A4E44" w:rsidRPr="001A4E44">
        <w:rPr>
          <w:rFonts w:eastAsia="MS Mincho"/>
        </w:rPr>
        <w:t xml:space="preserve">ensure protections </w:t>
      </w:r>
      <w:r>
        <w:rPr>
          <w:rFonts w:eastAsia="MS Mincho"/>
        </w:rPr>
        <w:t xml:space="preserve">against adverse actions </w:t>
      </w:r>
      <w:r w:rsidR="001A4E44" w:rsidRPr="001A4E44">
        <w:rPr>
          <w:rFonts w:eastAsia="MS Mincho"/>
        </w:rPr>
        <w:t xml:space="preserve">on grounds of </w:t>
      </w:r>
      <w:r w:rsidR="001A4E44" w:rsidRPr="001A4E44">
        <w:rPr>
          <w:rFonts w:eastAsia="MS Mincho"/>
          <w:lang w:val="en-US"/>
        </w:rPr>
        <w:t>race, colour, sex, language, religion, political or other opinion, national or social origin, property, birth or other status</w:t>
      </w:r>
      <w:r w:rsidR="001A4E44" w:rsidRPr="001A4E44">
        <w:rPr>
          <w:rFonts w:eastAsia="MS Mincho"/>
        </w:rPr>
        <w:t xml:space="preserve">, including </w:t>
      </w:r>
      <w:r w:rsidR="001A4E44" w:rsidRPr="001A4E44">
        <w:rPr>
          <w:rFonts w:eastAsia="MS Mincho"/>
          <w:lang w:val="en-US"/>
        </w:rPr>
        <w:t>indigenous origin or identity, disability, migrant or refugee status, sexual orientation, gender identity or intersex status.</w:t>
      </w:r>
      <w:r w:rsidR="001A4E44" w:rsidRPr="001A4E44">
        <w:rPr>
          <w:rFonts w:eastAsia="MS Mincho"/>
          <w:sz w:val="18"/>
          <w:vertAlign w:val="superscript"/>
          <w:lang w:val="en-US"/>
        </w:rPr>
        <w:footnoteReference w:id="18"/>
      </w:r>
      <w:r w:rsidR="001A4E44" w:rsidRPr="001A4E44">
        <w:rPr>
          <w:rFonts w:eastAsia="MS Mincho"/>
        </w:rPr>
        <w:t xml:space="preserve"> </w:t>
      </w:r>
      <w:r w:rsidR="00050B37">
        <w:rPr>
          <w:rFonts w:eastAsia="MS Mincho"/>
        </w:rPr>
        <w:t>The</w:t>
      </w:r>
      <w:r>
        <w:rPr>
          <w:rFonts w:eastAsia="MS Mincho"/>
        </w:rPr>
        <w:t xml:space="preserve"> category expands </w:t>
      </w:r>
      <w:r w:rsidR="00A43499">
        <w:rPr>
          <w:rFonts w:eastAsia="MS Mincho"/>
        </w:rPr>
        <w:t>with time</w:t>
      </w:r>
      <w:r>
        <w:rPr>
          <w:rFonts w:eastAsia="MS Mincho"/>
        </w:rPr>
        <w:t>, such that other categories, such as age or albinism, also constitute explicit protections today.</w:t>
      </w:r>
      <w:r w:rsidR="00D47079">
        <w:rPr>
          <w:rFonts w:eastAsia="MS Mincho"/>
        </w:rPr>
        <w:t xml:space="preserve"> Given the expansion of protection worldwide, the prohibition of incitement should be understood to apply to the broader categories now covered in international human rights law.</w:t>
      </w:r>
    </w:p>
    <w:p w14:paraId="67C4296B" w14:textId="254E0855" w:rsidR="001A4E44" w:rsidRPr="001A4E44" w:rsidRDefault="004078BC" w:rsidP="004078BC">
      <w:pPr>
        <w:pStyle w:val="SingleTxtG"/>
        <w:rPr>
          <w:rFonts w:eastAsia="MS Mincho"/>
        </w:rPr>
      </w:pPr>
      <w:r>
        <w:rPr>
          <w:rFonts w:eastAsia="MS Mincho"/>
        </w:rPr>
        <w:t>10</w:t>
      </w:r>
      <w:r w:rsidR="001A4E44" w:rsidRPr="001A4E44">
        <w:rPr>
          <w:rFonts w:eastAsia="MS Mincho"/>
        </w:rPr>
        <w:t>.</w:t>
      </w:r>
      <w:r w:rsidR="001A4E44" w:rsidRPr="001A4E44">
        <w:rPr>
          <w:rFonts w:eastAsia="MS Mincho"/>
        </w:rPr>
        <w:tab/>
        <w:t xml:space="preserve">A critical definitional point: the individual whose </w:t>
      </w:r>
      <w:r w:rsidR="002208DA">
        <w:rPr>
          <w:rFonts w:eastAsia="MS Mincho"/>
        </w:rPr>
        <w:t>expression</w:t>
      </w:r>
      <w:r w:rsidR="001A4E44" w:rsidRPr="001A4E44">
        <w:rPr>
          <w:rFonts w:eastAsia="MS Mincho"/>
        </w:rPr>
        <w:t xml:space="preserve"> </w:t>
      </w:r>
      <w:r w:rsidR="002208DA">
        <w:rPr>
          <w:rFonts w:eastAsia="MS Mincho"/>
        </w:rPr>
        <w:t>is to</w:t>
      </w:r>
      <w:r w:rsidR="00B73781" w:rsidRPr="001A4E44">
        <w:rPr>
          <w:rFonts w:eastAsia="MS Mincho"/>
        </w:rPr>
        <w:t xml:space="preserve"> </w:t>
      </w:r>
      <w:r w:rsidR="001A4E44" w:rsidRPr="001A4E44">
        <w:rPr>
          <w:rFonts w:eastAsia="MS Mincho"/>
        </w:rPr>
        <w:t xml:space="preserve">be </w:t>
      </w:r>
      <w:r w:rsidR="00B73781">
        <w:rPr>
          <w:rFonts w:eastAsia="MS Mincho"/>
        </w:rPr>
        <w:t>prohibited</w:t>
      </w:r>
      <w:r w:rsidR="00B73781" w:rsidRPr="001A4E44">
        <w:rPr>
          <w:rFonts w:eastAsia="MS Mincho"/>
        </w:rPr>
        <w:t xml:space="preserve"> </w:t>
      </w:r>
      <w:r w:rsidR="001A4E44" w:rsidRPr="001A4E44">
        <w:rPr>
          <w:rFonts w:eastAsia="MS Mincho"/>
        </w:rPr>
        <w:t xml:space="preserve">under Article 20(2) is </w:t>
      </w:r>
      <w:r w:rsidR="001A4E44" w:rsidRPr="001A4E44">
        <w:rPr>
          <w:rFonts w:eastAsia="MS Mincho"/>
          <w:i/>
          <w:iCs/>
        </w:rPr>
        <w:t>the advocate</w:t>
      </w:r>
      <w:r w:rsidR="001A4E44" w:rsidRPr="001A4E44">
        <w:rPr>
          <w:rFonts w:eastAsia="MS Mincho"/>
        </w:rPr>
        <w:t xml:space="preserve"> </w:t>
      </w:r>
      <w:r w:rsidR="001A4E44" w:rsidRPr="001A4E44">
        <w:rPr>
          <w:rFonts w:eastAsia="MS Mincho"/>
          <w:i/>
          <w:iCs/>
        </w:rPr>
        <w:t>whose advocacy constitutes incitement</w:t>
      </w:r>
      <w:r w:rsidR="001A4E44" w:rsidRPr="001A4E44">
        <w:rPr>
          <w:rFonts w:eastAsia="MS Mincho"/>
        </w:rPr>
        <w:t>. A person who is not advocating hatred</w:t>
      </w:r>
      <w:r w:rsidR="00A57D92">
        <w:rPr>
          <w:rFonts w:eastAsia="MS Mincho"/>
        </w:rPr>
        <w:t xml:space="preserve"> that constitutes incitement to discrimination, hostility or violence</w:t>
      </w:r>
      <w:r w:rsidR="001A4E44" w:rsidRPr="001A4E44">
        <w:rPr>
          <w:rFonts w:eastAsia="MS Mincho"/>
        </w:rPr>
        <w:t xml:space="preserve"> – for instance, a person advocating a minority or even offensive interpretation of a religious tenet or historical event, or a person </w:t>
      </w:r>
      <w:r w:rsidR="00D47079">
        <w:rPr>
          <w:rFonts w:eastAsia="MS Mincho"/>
        </w:rPr>
        <w:t>sharing examples of</w:t>
      </w:r>
      <w:r w:rsidR="00D47079" w:rsidRPr="001A4E44">
        <w:rPr>
          <w:rFonts w:eastAsia="MS Mincho"/>
          <w:i/>
          <w:iCs/>
        </w:rPr>
        <w:t xml:space="preserve"> </w:t>
      </w:r>
      <w:r w:rsidR="001A4E44" w:rsidRPr="001A4E44">
        <w:rPr>
          <w:rFonts w:eastAsia="MS Mincho"/>
        </w:rPr>
        <w:t>hatred and incitement</w:t>
      </w:r>
      <w:r w:rsidR="00D47079">
        <w:rPr>
          <w:rFonts w:eastAsia="MS Mincho"/>
        </w:rPr>
        <w:t xml:space="preserve"> to report or raise awareness</w:t>
      </w:r>
      <w:r>
        <w:rPr>
          <w:rFonts w:eastAsia="MS Mincho"/>
        </w:rPr>
        <w:t xml:space="preserve"> </w:t>
      </w:r>
      <w:r w:rsidR="001A4E44" w:rsidRPr="001A4E44">
        <w:rPr>
          <w:rFonts w:eastAsia="MS Mincho"/>
        </w:rPr>
        <w:t xml:space="preserve">– is not to be silenced under Article 20 (or any other provision of human rights law). </w:t>
      </w:r>
      <w:r w:rsidR="00A43499">
        <w:rPr>
          <w:rFonts w:eastAsia="MS Mincho"/>
        </w:rPr>
        <w:t>Such</w:t>
      </w:r>
      <w:r w:rsidR="001A4E44" w:rsidRPr="001A4E44">
        <w:rPr>
          <w:rFonts w:eastAsia="MS Mincho"/>
        </w:rPr>
        <w:t xml:space="preserve"> </w:t>
      </w:r>
      <w:r w:rsidR="00D47079">
        <w:rPr>
          <w:rFonts w:eastAsia="MS Mincho"/>
        </w:rPr>
        <w:t>expression</w:t>
      </w:r>
      <w:r w:rsidR="00D47079" w:rsidRPr="001A4E44">
        <w:rPr>
          <w:rFonts w:eastAsia="MS Mincho"/>
        </w:rPr>
        <w:t xml:space="preserve"> </w:t>
      </w:r>
      <w:r w:rsidR="001A4E44" w:rsidRPr="001A4E44">
        <w:rPr>
          <w:rFonts w:eastAsia="MS Mincho"/>
        </w:rPr>
        <w:t xml:space="preserve">is to be </w:t>
      </w:r>
      <w:r w:rsidR="001A4E44" w:rsidRPr="001A4E44">
        <w:rPr>
          <w:rFonts w:eastAsia="MS Mincho"/>
          <w:i/>
          <w:iCs/>
        </w:rPr>
        <w:t xml:space="preserve">protected </w:t>
      </w:r>
      <w:r w:rsidR="001A4E44" w:rsidRPr="001A4E44">
        <w:rPr>
          <w:rFonts w:eastAsia="MS Mincho"/>
        </w:rPr>
        <w:t>by the State, even if the State disagrees with or is offended by the expression</w:t>
      </w:r>
      <w:r w:rsidR="00D47079">
        <w:rPr>
          <w:rFonts w:eastAsia="MS Mincho"/>
        </w:rPr>
        <w:t>.</w:t>
      </w:r>
      <w:r w:rsidR="001A4E44" w:rsidRPr="001A4E44">
        <w:rPr>
          <w:rFonts w:eastAsia="MS Mincho"/>
          <w:sz w:val="18"/>
          <w:vertAlign w:val="superscript"/>
        </w:rPr>
        <w:footnoteReference w:id="19"/>
      </w:r>
      <w:r w:rsidR="001E6AF2">
        <w:rPr>
          <w:rFonts w:eastAsia="MS Mincho"/>
        </w:rPr>
        <w:t xml:space="preserve"> </w:t>
      </w:r>
      <w:r w:rsidR="00A43499">
        <w:rPr>
          <w:rFonts w:eastAsia="MS Mincho"/>
        </w:rPr>
        <w:t>There is</w:t>
      </w:r>
      <w:r w:rsidR="002208DA">
        <w:rPr>
          <w:rFonts w:eastAsia="MS Mincho"/>
        </w:rPr>
        <w:t xml:space="preserve"> </w:t>
      </w:r>
      <w:r w:rsidR="00A43499">
        <w:rPr>
          <w:rFonts w:eastAsia="MS Mincho"/>
        </w:rPr>
        <w:t>no ‘heckler’s veto’ in international human rights law.</w:t>
      </w:r>
      <w:r w:rsidR="00A43499">
        <w:rPr>
          <w:rStyle w:val="FootnoteReference"/>
          <w:rFonts w:eastAsia="MS Mincho"/>
        </w:rPr>
        <w:footnoteReference w:id="20"/>
      </w:r>
      <w:r w:rsidR="00A43499">
        <w:rPr>
          <w:rFonts w:eastAsia="MS Mincho"/>
        </w:rPr>
        <w:t xml:space="preserve"> </w:t>
      </w:r>
    </w:p>
    <w:p w14:paraId="6B75DD70" w14:textId="63FBF62C" w:rsidR="001A4E44" w:rsidRPr="001A4E44" w:rsidRDefault="00B24EA8" w:rsidP="004078BC">
      <w:pPr>
        <w:pStyle w:val="SingleTxtG"/>
        <w:rPr>
          <w:rFonts w:eastAsia="MS Mincho"/>
        </w:rPr>
      </w:pPr>
      <w:r>
        <w:rPr>
          <w:rFonts w:eastAsia="MS Mincho"/>
        </w:rPr>
        <w:t>11</w:t>
      </w:r>
      <w:r w:rsidR="001A4E44" w:rsidRPr="001A4E44">
        <w:rPr>
          <w:rFonts w:eastAsia="MS Mincho"/>
        </w:rPr>
        <w:t>.</w:t>
      </w:r>
      <w:r w:rsidR="001A4E44" w:rsidRPr="001A4E44">
        <w:rPr>
          <w:rFonts w:eastAsia="MS Mincho"/>
        </w:rPr>
        <w:tab/>
        <w:t>The International Convention on the Elimination of Racial Discrimination (ICERD)</w:t>
      </w:r>
      <w:r w:rsidR="00364487">
        <w:rPr>
          <w:rFonts w:eastAsia="MS Mincho"/>
        </w:rPr>
        <w:t>, adopted the year before the ICCPR,</w:t>
      </w:r>
      <w:r w:rsidR="001A4E44" w:rsidRPr="001A4E44">
        <w:rPr>
          <w:rFonts w:eastAsia="MS Mincho"/>
        </w:rPr>
        <w:t xml:space="preserve"> calls on States to “eradicate all incitement to, and acts of” racial discrimination, “with due regard” to other rights protected by human rights law, including the freedom of expression.</w:t>
      </w:r>
      <w:r w:rsidR="001A4E44" w:rsidRPr="001A4E44">
        <w:rPr>
          <w:rFonts w:eastAsia="MS Mincho"/>
          <w:sz w:val="18"/>
          <w:vertAlign w:val="superscript"/>
        </w:rPr>
        <w:footnoteReference w:id="21"/>
      </w:r>
      <w:r w:rsidR="001A4E44" w:rsidRPr="001A4E44">
        <w:rPr>
          <w:rFonts w:eastAsia="MS Mincho"/>
        </w:rPr>
        <w:t xml:space="preserve"> Article 4 obligates States Parties, </w:t>
      </w:r>
      <w:r w:rsidR="001A4E44" w:rsidRPr="001A4E44">
        <w:rPr>
          <w:rFonts w:eastAsia="MS Mincho"/>
          <w:i/>
          <w:iCs/>
        </w:rPr>
        <w:t>inter alia</w:t>
      </w:r>
      <w:r>
        <w:rPr>
          <w:rFonts w:eastAsia="MS Mincho"/>
        </w:rPr>
        <w:t xml:space="preserve">, </w:t>
      </w:r>
      <w:r w:rsidR="00F563E9">
        <w:rPr>
          <w:rFonts w:eastAsia="MS Mincho"/>
        </w:rPr>
        <w:t>to:</w:t>
      </w:r>
    </w:p>
    <w:p w14:paraId="3E26E1CB" w14:textId="77777777" w:rsidR="004078BC" w:rsidRDefault="001A4E44" w:rsidP="004078BC">
      <w:pPr>
        <w:pStyle w:val="SingleTxtG"/>
        <w:ind w:left="1701"/>
        <w:rPr>
          <w:rFonts w:eastAsia="MS Mincho"/>
        </w:rPr>
      </w:pPr>
      <w:r w:rsidRPr="001A4E44">
        <w:rPr>
          <w:rFonts w:eastAsia="MS Mincho"/>
        </w:rPr>
        <w:t>“declare an offence punishable by law all dissemination of ideas based on racial superiority or hatred, incitement to racial discrimination, as well as all acts of violence or incitement to such acts against any race or group of persons of anothe</w:t>
      </w:r>
      <w:r w:rsidR="00B24EA8">
        <w:rPr>
          <w:rFonts w:eastAsia="MS Mincho"/>
        </w:rPr>
        <w:t>r colour or ethnic origin”; and</w:t>
      </w:r>
      <w:r w:rsidR="004078BC">
        <w:rPr>
          <w:rFonts w:eastAsia="MS Mincho"/>
        </w:rPr>
        <w:t xml:space="preserve"> </w:t>
      </w:r>
    </w:p>
    <w:p w14:paraId="23BCFD49" w14:textId="764131F8" w:rsidR="001A4E44" w:rsidRDefault="004078BC" w:rsidP="004078BC">
      <w:pPr>
        <w:pStyle w:val="SingleTxtG"/>
        <w:ind w:left="1701"/>
        <w:rPr>
          <w:rFonts w:eastAsia="MS Mincho"/>
        </w:rPr>
      </w:pPr>
      <w:r w:rsidRPr="004078BC">
        <w:rPr>
          <w:rFonts w:eastAsia="MS Mincho"/>
        </w:rPr>
        <w:t>“declare illegal and prohibit organizations, and also organized and all other propaganda activities, which promote and incite racial discrimination, and shall recognize participation in such organizations or activities as an offence punishable by law”.</w:t>
      </w:r>
    </w:p>
    <w:p w14:paraId="74E038F2" w14:textId="5DC8578E" w:rsidR="004078BC" w:rsidRDefault="004078BC" w:rsidP="004078BC">
      <w:pPr>
        <w:pStyle w:val="SingleTxtG"/>
        <w:rPr>
          <w:rFonts w:eastAsia="MS Mincho"/>
        </w:rPr>
      </w:pPr>
      <w:r>
        <w:rPr>
          <w:rFonts w:eastAsia="MS Mincho"/>
        </w:rPr>
        <w:lastRenderedPageBreak/>
        <w:t>12.</w:t>
      </w:r>
      <w:r>
        <w:rPr>
          <w:rFonts w:eastAsia="MS Mincho"/>
        </w:rPr>
        <w:tab/>
      </w:r>
      <w:r w:rsidR="001A4E44" w:rsidRPr="001A4E44">
        <w:rPr>
          <w:rFonts w:eastAsia="MS Mincho"/>
        </w:rPr>
        <w:t xml:space="preserve">Article 20(2) of the ICCPR and Article 4 of the ICERD </w:t>
      </w:r>
      <w:r w:rsidR="007C4AF6">
        <w:rPr>
          <w:rFonts w:eastAsia="MS Mincho"/>
        </w:rPr>
        <w:t>address</w:t>
      </w:r>
      <w:r w:rsidR="001A4E44" w:rsidRPr="001A4E44">
        <w:rPr>
          <w:rFonts w:eastAsia="MS Mincho"/>
        </w:rPr>
        <w:t xml:space="preserve"> </w:t>
      </w:r>
      <w:r w:rsidR="009A18B7">
        <w:rPr>
          <w:rFonts w:eastAsia="MS Mincho"/>
        </w:rPr>
        <w:t>specific categories of expression</w:t>
      </w:r>
      <w:r w:rsidR="00A04E22">
        <w:rPr>
          <w:rFonts w:eastAsia="MS Mincho"/>
        </w:rPr>
        <w:t>, often characterized as ‘hate speech’</w:t>
      </w:r>
      <w:r w:rsidR="001A4E44" w:rsidRPr="001A4E44">
        <w:rPr>
          <w:rFonts w:eastAsia="MS Mincho"/>
        </w:rPr>
        <w:t>.</w:t>
      </w:r>
      <w:r w:rsidR="001A4E44" w:rsidRPr="001A4E44">
        <w:rPr>
          <w:rFonts w:eastAsia="MS Mincho"/>
          <w:sz w:val="18"/>
          <w:vertAlign w:val="superscript"/>
        </w:rPr>
        <w:footnoteReference w:id="22"/>
      </w:r>
      <w:r w:rsidR="001A4E44" w:rsidRPr="001A4E44">
        <w:rPr>
          <w:rFonts w:eastAsia="MS Mincho"/>
        </w:rPr>
        <w:t xml:space="preserve"> </w:t>
      </w:r>
      <w:r w:rsidR="00364487">
        <w:rPr>
          <w:rFonts w:eastAsia="MS Mincho"/>
        </w:rPr>
        <w:t>T</w:t>
      </w:r>
      <w:r w:rsidR="001A4E44" w:rsidRPr="001A4E44">
        <w:rPr>
          <w:rFonts w:eastAsia="MS Mincho"/>
        </w:rPr>
        <w:t>he language of these provisions has a kind of ambiguity compared to Article 19(2).</w:t>
      </w:r>
      <w:r w:rsidR="001A4E44" w:rsidRPr="001A4E44">
        <w:rPr>
          <w:rFonts w:eastAsia="MS Mincho"/>
          <w:sz w:val="18"/>
          <w:vertAlign w:val="superscript"/>
        </w:rPr>
        <w:footnoteReference w:id="23"/>
      </w:r>
      <w:r w:rsidR="001A4E44" w:rsidRPr="001A4E44">
        <w:rPr>
          <w:rFonts w:eastAsia="MS Mincho"/>
        </w:rPr>
        <w:t xml:space="preserve"> Whereas the freedom of expression in Article 19(2) of the ICCPR involves capacious rights embodied by active verbs (seek, receive, impart) and the broadest possible scope (ideas of </w:t>
      </w:r>
      <w:r w:rsidR="001A4E44" w:rsidRPr="001A4E44">
        <w:rPr>
          <w:rFonts w:eastAsia="MS Mincho"/>
          <w:i/>
          <w:iCs/>
        </w:rPr>
        <w:t>all</w:t>
      </w:r>
      <w:r w:rsidR="001A4E44" w:rsidRPr="001A4E44">
        <w:rPr>
          <w:rFonts w:eastAsia="MS Mincho"/>
        </w:rPr>
        <w:t xml:space="preserve"> kinds, </w:t>
      </w:r>
      <w:r w:rsidR="001A4E44" w:rsidRPr="001A4E44">
        <w:rPr>
          <w:rFonts w:eastAsia="MS Mincho"/>
          <w:i/>
          <w:iCs/>
        </w:rPr>
        <w:t>regardless</w:t>
      </w:r>
      <w:r w:rsidR="001A4E44" w:rsidRPr="001A4E44">
        <w:rPr>
          <w:rFonts w:eastAsia="MS Mincho"/>
        </w:rPr>
        <w:t xml:space="preserve"> of frontiers, through </w:t>
      </w:r>
      <w:r w:rsidR="001A4E44" w:rsidRPr="001A4E44">
        <w:rPr>
          <w:rFonts w:eastAsia="MS Mincho"/>
          <w:i/>
          <w:iCs/>
        </w:rPr>
        <w:t>any</w:t>
      </w:r>
      <w:r w:rsidR="001A4E44" w:rsidRPr="001A4E44">
        <w:rPr>
          <w:rFonts w:eastAsia="MS Mincho"/>
        </w:rPr>
        <w:t xml:space="preserve"> media), the </w:t>
      </w:r>
      <w:r w:rsidR="00A96EB0">
        <w:rPr>
          <w:rFonts w:eastAsia="MS Mincho"/>
        </w:rPr>
        <w:t>proscriptions</w:t>
      </w:r>
      <w:r w:rsidR="001A4E44" w:rsidRPr="001A4E44">
        <w:rPr>
          <w:rFonts w:eastAsia="MS Mincho"/>
        </w:rPr>
        <w:t xml:space="preserve"> </w:t>
      </w:r>
      <w:r w:rsidR="009A18B7">
        <w:rPr>
          <w:rFonts w:eastAsia="MS Mincho"/>
        </w:rPr>
        <w:t xml:space="preserve">under Article 20(2) and Article 4, while much narrower than </w:t>
      </w:r>
      <w:r w:rsidR="00A96EB0">
        <w:rPr>
          <w:rFonts w:eastAsia="MS Mincho"/>
        </w:rPr>
        <w:t>generic</w:t>
      </w:r>
      <w:r w:rsidR="009A18B7">
        <w:rPr>
          <w:rFonts w:eastAsia="MS Mincho"/>
        </w:rPr>
        <w:t xml:space="preserve"> ‘hate speech’ prohibition</w:t>
      </w:r>
      <w:r w:rsidR="006C66E0">
        <w:rPr>
          <w:rFonts w:eastAsia="MS Mincho"/>
        </w:rPr>
        <w:t>s</w:t>
      </w:r>
      <w:r w:rsidR="009A18B7">
        <w:rPr>
          <w:rFonts w:eastAsia="MS Mincho"/>
        </w:rPr>
        <w:t>,</w:t>
      </w:r>
      <w:r w:rsidR="001A4E44" w:rsidRPr="001A4E44">
        <w:rPr>
          <w:rFonts w:eastAsia="MS Mincho"/>
        </w:rPr>
        <w:t xml:space="preserve"> involve difficult-to-define language of emotion (hatred, hostility) and highly context-specific prohibition (</w:t>
      </w:r>
      <w:r w:rsidR="001E6AF2">
        <w:rPr>
          <w:rFonts w:eastAsia="MS Mincho"/>
        </w:rPr>
        <w:t xml:space="preserve">advocacy of </w:t>
      </w:r>
      <w:r w:rsidR="001A4E44" w:rsidRPr="001A4E44">
        <w:rPr>
          <w:rFonts w:eastAsia="MS Mincho"/>
        </w:rPr>
        <w:t>incitement</w:t>
      </w:r>
      <w:r w:rsidR="007C4AF6">
        <w:rPr>
          <w:rFonts w:eastAsia="MS Mincho"/>
        </w:rPr>
        <w:t>)</w:t>
      </w:r>
      <w:r w:rsidR="001A4E44" w:rsidRPr="001A4E44">
        <w:rPr>
          <w:rFonts w:eastAsia="MS Mincho"/>
        </w:rPr>
        <w:t>.</w:t>
      </w:r>
      <w:r w:rsidR="009A18B7">
        <w:rPr>
          <w:rFonts w:eastAsia="MS Mincho"/>
        </w:rPr>
        <w:t xml:space="preserve"> </w:t>
      </w:r>
      <w:r w:rsidR="00A96EB0">
        <w:rPr>
          <w:rFonts w:eastAsia="MS Mincho"/>
        </w:rPr>
        <w:t>To be sure, t</w:t>
      </w:r>
      <w:r w:rsidR="00D25056" w:rsidRPr="001A4E44">
        <w:rPr>
          <w:rFonts w:eastAsia="MS Mincho"/>
        </w:rPr>
        <w:t>he Human Rights Committee has concluded that Articles 19 and 20 “are compatible with and complement each other”.</w:t>
      </w:r>
      <w:r w:rsidR="00D25056" w:rsidRPr="001A4E44">
        <w:rPr>
          <w:rFonts w:eastAsia="MS Mincho"/>
          <w:sz w:val="18"/>
          <w:vertAlign w:val="superscript"/>
        </w:rPr>
        <w:footnoteReference w:id="24"/>
      </w:r>
      <w:r w:rsidR="00D25056" w:rsidRPr="00D25056">
        <w:rPr>
          <w:rFonts w:eastAsia="MS Mincho"/>
        </w:rPr>
        <w:t xml:space="preserve"> </w:t>
      </w:r>
      <w:r w:rsidR="00D25056">
        <w:rPr>
          <w:rFonts w:eastAsia="MS Mincho"/>
        </w:rPr>
        <w:t>Even so, they demand interpretation.</w:t>
      </w:r>
    </w:p>
    <w:p w14:paraId="50C3FFF2" w14:textId="40CA3047" w:rsidR="001D2868" w:rsidRPr="001A4E44" w:rsidRDefault="00B24EA8" w:rsidP="006C66E0">
      <w:pPr>
        <w:pStyle w:val="SingleTxtG"/>
        <w:rPr>
          <w:rFonts w:eastAsia="MS Mincho"/>
        </w:rPr>
      </w:pPr>
      <w:r>
        <w:rPr>
          <w:rFonts w:eastAsia="MS Mincho"/>
        </w:rPr>
        <w:t>13</w:t>
      </w:r>
      <w:r w:rsidR="001A4E44" w:rsidRPr="001A4E44">
        <w:rPr>
          <w:rFonts w:eastAsia="MS Mincho"/>
        </w:rPr>
        <w:t>.</w:t>
      </w:r>
      <w:r w:rsidR="001A4E44" w:rsidRPr="001A4E44">
        <w:rPr>
          <w:rFonts w:eastAsia="MS Mincho"/>
        </w:rPr>
        <w:tab/>
      </w:r>
      <w:r w:rsidR="00A8417B">
        <w:rPr>
          <w:rFonts w:eastAsia="MS Mincho"/>
        </w:rPr>
        <w:t xml:space="preserve">The </w:t>
      </w:r>
      <w:r w:rsidR="001A4E44" w:rsidRPr="001A4E44">
        <w:rPr>
          <w:rFonts w:eastAsia="MS Mincho"/>
        </w:rPr>
        <w:t>Human Rights Committee found</w:t>
      </w:r>
      <w:r w:rsidR="004078BC">
        <w:rPr>
          <w:rFonts w:eastAsia="MS Mincho"/>
        </w:rPr>
        <w:t xml:space="preserve"> in General Comment 34</w:t>
      </w:r>
      <w:r w:rsidR="009A18B7">
        <w:rPr>
          <w:rFonts w:eastAsia="MS Mincho"/>
        </w:rPr>
        <w:t>, in 2011,</w:t>
      </w:r>
      <w:r w:rsidR="001A4E44" w:rsidRPr="001A4E44">
        <w:rPr>
          <w:rFonts w:eastAsia="MS Mincho"/>
        </w:rPr>
        <w:t xml:space="preserve"> </w:t>
      </w:r>
      <w:r w:rsidR="00A8417B">
        <w:rPr>
          <w:rFonts w:eastAsia="MS Mincho"/>
        </w:rPr>
        <w:t xml:space="preserve">that </w:t>
      </w:r>
      <w:r w:rsidR="001A4E44" w:rsidRPr="001A4E44">
        <w:rPr>
          <w:rFonts w:eastAsia="MS Mincho"/>
        </w:rPr>
        <w:t>when</w:t>
      </w:r>
      <w:r w:rsidR="001E6AF2">
        <w:rPr>
          <w:rFonts w:eastAsia="MS Mincho"/>
        </w:rPr>
        <w:t>ever</w:t>
      </w:r>
      <w:r w:rsidR="001A4E44" w:rsidRPr="001A4E44">
        <w:rPr>
          <w:rFonts w:eastAsia="MS Mincho"/>
        </w:rPr>
        <w:t xml:space="preserve"> a State </w:t>
      </w:r>
      <w:r w:rsidR="001E6AF2">
        <w:rPr>
          <w:rFonts w:eastAsia="MS Mincho"/>
        </w:rPr>
        <w:t>limits expression</w:t>
      </w:r>
      <w:r w:rsidR="001A4E44" w:rsidRPr="001A4E44">
        <w:rPr>
          <w:rFonts w:eastAsia="MS Mincho"/>
        </w:rPr>
        <w:t>,</w:t>
      </w:r>
      <w:r w:rsidR="001D2868">
        <w:rPr>
          <w:rFonts w:eastAsia="MS Mincho"/>
        </w:rPr>
        <w:t xml:space="preserve"> including Article 20(2) expression,</w:t>
      </w:r>
      <w:r w:rsidR="001A4E44" w:rsidRPr="001A4E44">
        <w:rPr>
          <w:rFonts w:eastAsia="MS Mincho"/>
        </w:rPr>
        <w:t xml:space="preserve"> it must still “justify the prohibitions and their provisions in strict conformity with article 19.”</w:t>
      </w:r>
      <w:r w:rsidR="001A4E44" w:rsidRPr="001A4E44">
        <w:rPr>
          <w:rFonts w:eastAsia="MS Mincho"/>
          <w:sz w:val="18"/>
          <w:vertAlign w:val="superscript"/>
        </w:rPr>
        <w:footnoteReference w:id="25"/>
      </w:r>
      <w:r w:rsidR="001A4E44" w:rsidRPr="001A4E44">
        <w:rPr>
          <w:rFonts w:eastAsia="MS Mincho"/>
        </w:rPr>
        <w:t xml:space="preserve"> </w:t>
      </w:r>
      <w:r w:rsidR="001D2868">
        <w:rPr>
          <w:rFonts w:eastAsia="MS Mincho"/>
        </w:rPr>
        <w:t xml:space="preserve"> A year later, a</w:t>
      </w:r>
      <w:r w:rsidR="001D2868" w:rsidRPr="001A4E44">
        <w:rPr>
          <w:rFonts w:eastAsia="MS Mincho"/>
        </w:rPr>
        <w:t xml:space="preserve"> high-level group of human rights experts</w:t>
      </w:r>
      <w:r w:rsidR="006C66E0">
        <w:rPr>
          <w:rFonts w:eastAsia="MS Mincho"/>
        </w:rPr>
        <w:t>,</w:t>
      </w:r>
      <w:r w:rsidR="001D2868" w:rsidRPr="001A4E44">
        <w:rPr>
          <w:rFonts w:eastAsia="MS Mincho"/>
        </w:rPr>
        <w:t xml:space="preserve"> convened under the auspices of the UN High Commissioner for Human Rights</w:t>
      </w:r>
      <w:r w:rsidR="006C66E0">
        <w:rPr>
          <w:rFonts w:eastAsia="MS Mincho"/>
        </w:rPr>
        <w:t>,</w:t>
      </w:r>
      <w:r w:rsidR="001D2868" w:rsidRPr="001A4E44">
        <w:rPr>
          <w:rFonts w:eastAsia="MS Mincho"/>
        </w:rPr>
        <w:t xml:space="preserve"> adopted a</w:t>
      </w:r>
      <w:r w:rsidR="00A96EB0">
        <w:rPr>
          <w:rFonts w:eastAsia="MS Mincho"/>
        </w:rPr>
        <w:t xml:space="preserve">n </w:t>
      </w:r>
      <w:r w:rsidR="001D2868" w:rsidRPr="001A4E44">
        <w:rPr>
          <w:rFonts w:eastAsia="MS Mincho"/>
        </w:rPr>
        <w:t xml:space="preserve">interpretation of </w:t>
      </w:r>
      <w:r w:rsidR="001D2868">
        <w:rPr>
          <w:rFonts w:eastAsia="MS Mincho"/>
        </w:rPr>
        <w:t>Article 20(2)</w:t>
      </w:r>
      <w:r w:rsidR="001D2868" w:rsidRPr="001A4E44">
        <w:rPr>
          <w:rFonts w:eastAsia="MS Mincho"/>
        </w:rPr>
        <w:t>.</w:t>
      </w:r>
      <w:r w:rsidR="001D2868" w:rsidRPr="001A4E44">
        <w:rPr>
          <w:rFonts w:eastAsia="MS Mincho"/>
          <w:sz w:val="18"/>
          <w:vertAlign w:val="superscript"/>
        </w:rPr>
        <w:footnoteReference w:id="26"/>
      </w:r>
      <w:r w:rsidR="001D2868" w:rsidRPr="001A4E44">
        <w:rPr>
          <w:rFonts w:eastAsia="MS Mincho"/>
        </w:rPr>
        <w:t xml:space="preserve"> The Rabat Plan of Action </w:t>
      </w:r>
      <w:r w:rsidR="00A04E22">
        <w:rPr>
          <w:rFonts w:eastAsia="MS Mincho"/>
        </w:rPr>
        <w:t>defines</w:t>
      </w:r>
      <w:r w:rsidR="001D2868">
        <w:rPr>
          <w:rFonts w:eastAsia="MS Mincho"/>
        </w:rPr>
        <w:t xml:space="preserve"> key terms as follows: </w:t>
      </w:r>
    </w:p>
    <w:p w14:paraId="0A3EC374" w14:textId="652B9D59" w:rsidR="001D2868" w:rsidRPr="001A4E44" w:rsidRDefault="001D2868" w:rsidP="001D2868">
      <w:pPr>
        <w:pStyle w:val="SingleTxtG"/>
        <w:ind w:left="1494"/>
        <w:rPr>
          <w:rFonts w:eastAsia="MS Mincho"/>
        </w:rPr>
      </w:pPr>
      <w:r w:rsidRPr="001A4E44">
        <w:rPr>
          <w:rFonts w:eastAsia="MS Mincho"/>
        </w:rPr>
        <w:t>“‘</w:t>
      </w:r>
      <w:r w:rsidRPr="001A4E44">
        <w:rPr>
          <w:rFonts w:eastAsia="MS Mincho"/>
          <w:b/>
          <w:bCs/>
        </w:rPr>
        <w:t>hatred’</w:t>
      </w:r>
      <w:r w:rsidRPr="001A4E44">
        <w:rPr>
          <w:rFonts w:eastAsia="MS Mincho"/>
        </w:rPr>
        <w:t xml:space="preserve"> and ‘</w:t>
      </w:r>
      <w:r w:rsidRPr="001A4E44">
        <w:rPr>
          <w:rFonts w:eastAsia="MS Mincho"/>
          <w:b/>
          <w:bCs/>
        </w:rPr>
        <w:t>hostility’</w:t>
      </w:r>
      <w:r w:rsidRPr="001A4E44">
        <w:rPr>
          <w:rFonts w:eastAsia="MS Mincho"/>
        </w:rPr>
        <w:t xml:space="preserve"> refer to intense and irrational emotions of opprobrium, enmity and detestation towards the target group; the term ‘</w:t>
      </w:r>
      <w:r w:rsidRPr="001A4E44">
        <w:rPr>
          <w:rFonts w:eastAsia="MS Mincho"/>
          <w:b/>
          <w:bCs/>
        </w:rPr>
        <w:t>advocacy’</w:t>
      </w:r>
      <w:r w:rsidRPr="001A4E44">
        <w:rPr>
          <w:rFonts w:eastAsia="MS Mincho"/>
        </w:rPr>
        <w:t xml:space="preserve"> is to be understood as requiring an intention to promote hatred publicly towards the target group; and the term ‘</w:t>
      </w:r>
      <w:r w:rsidRPr="001A4E44">
        <w:rPr>
          <w:rFonts w:eastAsia="MS Mincho"/>
          <w:b/>
          <w:bCs/>
        </w:rPr>
        <w:t>incitement’</w:t>
      </w:r>
      <w:r w:rsidRPr="001A4E44">
        <w:rPr>
          <w:rFonts w:eastAsia="MS Mincho"/>
        </w:rPr>
        <w:t xml:space="preserve"> refers to statements about national, racial or religious groups which create an </w:t>
      </w:r>
      <w:r w:rsidRPr="001A4E44">
        <w:rPr>
          <w:rFonts w:eastAsia="MS Mincho"/>
          <w:i/>
          <w:iCs/>
        </w:rPr>
        <w:t>imminent risk of discrimination, hostility or violence</w:t>
      </w:r>
      <w:r w:rsidRPr="001A4E44">
        <w:rPr>
          <w:rFonts w:eastAsia="MS Mincho"/>
        </w:rPr>
        <w:t xml:space="preserve"> against persons belonging to those groups.”</w:t>
      </w:r>
      <w:r w:rsidRPr="001A4E44">
        <w:rPr>
          <w:rFonts w:eastAsia="MS Mincho"/>
          <w:sz w:val="18"/>
          <w:vertAlign w:val="superscript"/>
        </w:rPr>
        <w:footnoteReference w:id="27"/>
      </w:r>
    </w:p>
    <w:p w14:paraId="24DCF922" w14:textId="0479FCC4" w:rsidR="001D2868" w:rsidRPr="001A4E44" w:rsidRDefault="00732E36" w:rsidP="001D2868">
      <w:pPr>
        <w:pStyle w:val="SingleTxtG"/>
        <w:rPr>
          <w:rFonts w:eastAsia="MS Mincho"/>
        </w:rPr>
      </w:pPr>
      <w:r>
        <w:rPr>
          <w:rFonts w:eastAsia="MS Mincho"/>
        </w:rPr>
        <w:t>14.</w:t>
      </w:r>
      <w:r>
        <w:rPr>
          <w:rFonts w:eastAsia="MS Mincho"/>
        </w:rPr>
        <w:tab/>
      </w:r>
      <w:r w:rsidR="00A96EB0">
        <w:rPr>
          <w:rFonts w:eastAsia="MS Mincho"/>
        </w:rPr>
        <w:t>The Rabat Plan of Action</w:t>
      </w:r>
      <w:r w:rsidR="004078BC">
        <w:rPr>
          <w:rFonts w:eastAsia="MS Mincho"/>
        </w:rPr>
        <w:t xml:space="preserve"> also</w:t>
      </w:r>
      <w:r w:rsidR="001D2868" w:rsidRPr="001A4E44">
        <w:rPr>
          <w:rFonts w:eastAsia="MS Mincho"/>
        </w:rPr>
        <w:t xml:space="preserve"> identifies six</w:t>
      </w:r>
      <w:r w:rsidR="006C66E0">
        <w:rPr>
          <w:rFonts w:eastAsia="MS Mincho"/>
        </w:rPr>
        <w:t xml:space="preserve"> factors</w:t>
      </w:r>
      <w:r w:rsidR="001D2868" w:rsidRPr="001A4E44">
        <w:rPr>
          <w:rFonts w:eastAsia="MS Mincho"/>
        </w:rPr>
        <w:t xml:space="preserve"> to </w:t>
      </w:r>
      <w:r w:rsidR="006C66E0">
        <w:rPr>
          <w:rFonts w:eastAsia="MS Mincho"/>
        </w:rPr>
        <w:t>identify the</w:t>
      </w:r>
      <w:r w:rsidR="001D2868" w:rsidRPr="001A4E44">
        <w:rPr>
          <w:rFonts w:eastAsia="MS Mincho"/>
        </w:rPr>
        <w:t xml:space="preserve"> severity </w:t>
      </w:r>
      <w:r w:rsidR="001D2868">
        <w:rPr>
          <w:rFonts w:eastAsia="MS Mincho"/>
        </w:rPr>
        <w:t>necessary to</w:t>
      </w:r>
      <w:r w:rsidR="001D2868" w:rsidRPr="001A4E44">
        <w:rPr>
          <w:rFonts w:eastAsia="MS Mincho"/>
        </w:rPr>
        <w:t xml:space="preserve"> criminaliz</w:t>
      </w:r>
      <w:r w:rsidR="001D2868">
        <w:rPr>
          <w:rFonts w:eastAsia="MS Mincho"/>
        </w:rPr>
        <w:t>e</w:t>
      </w:r>
      <w:r w:rsidR="001D2868" w:rsidRPr="001A4E44">
        <w:rPr>
          <w:rFonts w:eastAsia="MS Mincho"/>
        </w:rPr>
        <w:t xml:space="preserve"> incitement</w:t>
      </w:r>
      <w:r w:rsidR="001D2868">
        <w:rPr>
          <w:rFonts w:eastAsia="MS Mincho"/>
        </w:rPr>
        <w:t xml:space="preserve">: </w:t>
      </w:r>
    </w:p>
    <w:p w14:paraId="4C4E4579" w14:textId="281A8A01" w:rsidR="001D2868" w:rsidRPr="001A4E44" w:rsidRDefault="005B1DCF" w:rsidP="00F15331">
      <w:pPr>
        <w:pStyle w:val="SingleTxtG"/>
        <w:numPr>
          <w:ilvl w:val="0"/>
          <w:numId w:val="9"/>
        </w:numPr>
        <w:ind w:left="1134" w:firstLine="567"/>
        <w:rPr>
          <w:rFonts w:eastAsia="MS Mincho"/>
          <w:lang w:eastAsia="en-GB"/>
        </w:rPr>
      </w:pPr>
      <w:r>
        <w:rPr>
          <w:rFonts w:eastAsia="MS Mincho"/>
          <w:lang w:eastAsia="en-GB"/>
        </w:rPr>
        <w:t>T</w:t>
      </w:r>
      <w:r w:rsidR="001D2868" w:rsidRPr="001A4E44">
        <w:rPr>
          <w:rFonts w:eastAsia="MS Mincho"/>
          <w:lang w:eastAsia="en-GB"/>
        </w:rPr>
        <w:t xml:space="preserve">he </w:t>
      </w:r>
      <w:r>
        <w:rPr>
          <w:rFonts w:eastAsia="MS Mincho"/>
          <w:lang w:eastAsia="en-GB"/>
        </w:rPr>
        <w:t>“</w:t>
      </w:r>
      <w:r w:rsidR="001D2868" w:rsidRPr="001A4E44">
        <w:rPr>
          <w:rFonts w:eastAsia="MS Mincho"/>
          <w:lang w:eastAsia="en-GB"/>
        </w:rPr>
        <w:t xml:space="preserve">social and political </w:t>
      </w:r>
      <w:r w:rsidR="001D2868" w:rsidRPr="002138E6">
        <w:rPr>
          <w:rFonts w:eastAsia="MS Mincho"/>
          <w:b/>
          <w:bCs/>
          <w:lang w:eastAsia="en-GB"/>
        </w:rPr>
        <w:t>context</w:t>
      </w:r>
      <w:r w:rsidR="001D2868" w:rsidRPr="001A4E44">
        <w:rPr>
          <w:rFonts w:eastAsia="MS Mincho"/>
          <w:lang w:eastAsia="en-GB"/>
        </w:rPr>
        <w:t xml:space="preserve"> prevalent at the time the speech was made and disseminated”;</w:t>
      </w:r>
    </w:p>
    <w:p w14:paraId="71CC0EAB" w14:textId="77777777" w:rsidR="001D2868" w:rsidRPr="001A4E44" w:rsidRDefault="001D2868" w:rsidP="00F15331">
      <w:pPr>
        <w:pStyle w:val="SingleTxtG"/>
        <w:numPr>
          <w:ilvl w:val="0"/>
          <w:numId w:val="9"/>
        </w:numPr>
        <w:ind w:left="1134" w:firstLine="567"/>
        <w:rPr>
          <w:rFonts w:eastAsia="MS Mincho"/>
          <w:lang w:eastAsia="en-GB"/>
        </w:rPr>
      </w:pPr>
      <w:r w:rsidRPr="001A4E44">
        <w:rPr>
          <w:rFonts w:eastAsia="MS Mincho"/>
          <w:lang w:eastAsia="en-GB"/>
        </w:rPr>
        <w:t xml:space="preserve">The status of the </w:t>
      </w:r>
      <w:r w:rsidRPr="001A4E44">
        <w:rPr>
          <w:rFonts w:eastAsia="MS Mincho"/>
          <w:b/>
          <w:bCs/>
          <w:lang w:eastAsia="en-GB"/>
        </w:rPr>
        <w:t>speaker</w:t>
      </w:r>
      <w:r w:rsidRPr="001A4E44">
        <w:rPr>
          <w:rFonts w:eastAsia="MS Mincho"/>
          <w:lang w:eastAsia="en-GB"/>
        </w:rPr>
        <w:t>, “specifically the individual’s or organization’s standing in the context of the audience to whom the speech is directed”;</w:t>
      </w:r>
    </w:p>
    <w:p w14:paraId="3C5B9C8C" w14:textId="77777777" w:rsidR="001D2868" w:rsidRPr="001A4E44" w:rsidRDefault="001D2868" w:rsidP="00F15331">
      <w:pPr>
        <w:pStyle w:val="SingleTxtG"/>
        <w:numPr>
          <w:ilvl w:val="0"/>
          <w:numId w:val="9"/>
        </w:numPr>
        <w:ind w:left="1134" w:firstLine="567"/>
        <w:rPr>
          <w:rFonts w:eastAsia="MS Mincho"/>
          <w:lang w:eastAsia="en-GB"/>
        </w:rPr>
      </w:pPr>
      <w:r w:rsidRPr="001A4E44">
        <w:rPr>
          <w:rFonts w:eastAsia="MS Mincho"/>
          <w:b/>
          <w:bCs/>
          <w:lang w:eastAsia="en-GB"/>
        </w:rPr>
        <w:t>Intent</w:t>
      </w:r>
      <w:r w:rsidRPr="001A4E44">
        <w:rPr>
          <w:rFonts w:eastAsia="MS Mincho"/>
          <w:lang w:eastAsia="en-GB"/>
        </w:rPr>
        <w:t>, such that “[n]egli</w:t>
      </w:r>
      <w:r>
        <w:rPr>
          <w:rFonts w:eastAsia="MS Mincho"/>
          <w:lang w:eastAsia="en-GB"/>
        </w:rPr>
        <w:t>g</w:t>
      </w:r>
      <w:r w:rsidRPr="001A4E44">
        <w:rPr>
          <w:rFonts w:eastAsia="MS Mincho"/>
          <w:lang w:eastAsia="en-GB"/>
        </w:rPr>
        <w:t>ence and recklessness are not sufficient for an offense under article 20,” which provides that “mere distribution or circulation” does not amount to advocacy or incitement.</w:t>
      </w:r>
    </w:p>
    <w:p w14:paraId="21918C64" w14:textId="77777777" w:rsidR="001D2868" w:rsidRPr="001A4E44" w:rsidRDefault="001D2868" w:rsidP="00F15331">
      <w:pPr>
        <w:pStyle w:val="SingleTxtG"/>
        <w:numPr>
          <w:ilvl w:val="0"/>
          <w:numId w:val="9"/>
        </w:numPr>
        <w:ind w:left="1134" w:firstLine="567"/>
        <w:rPr>
          <w:rFonts w:eastAsia="MS Mincho"/>
          <w:lang w:eastAsia="en-GB"/>
        </w:rPr>
      </w:pPr>
      <w:r w:rsidRPr="001A4E44">
        <w:rPr>
          <w:rFonts w:eastAsia="MS Mincho"/>
          <w:b/>
          <w:bCs/>
          <w:lang w:eastAsia="en-GB"/>
        </w:rPr>
        <w:t>Content</w:t>
      </w:r>
      <w:r w:rsidRPr="001A4E44">
        <w:rPr>
          <w:rFonts w:eastAsia="MS Mincho"/>
          <w:lang w:eastAsia="en-GB"/>
        </w:rPr>
        <w:t xml:space="preserve">  </w:t>
      </w:r>
      <w:r w:rsidRPr="001A4E44">
        <w:rPr>
          <w:rFonts w:eastAsia="MS Mincho"/>
          <w:b/>
          <w:bCs/>
          <w:lang w:eastAsia="en-GB"/>
        </w:rPr>
        <w:t>and form</w:t>
      </w:r>
      <w:r w:rsidRPr="001A4E44">
        <w:rPr>
          <w:rFonts w:eastAsia="MS Mincho"/>
          <w:lang w:eastAsia="en-GB"/>
        </w:rPr>
        <w:t xml:space="preserve"> of the speech, in particular “the degree to which the speech was provocative and direct, as well as the form, style, nature of arguments deployed”;</w:t>
      </w:r>
    </w:p>
    <w:p w14:paraId="67C39086" w14:textId="5E7FEF7B" w:rsidR="001D2868" w:rsidRPr="001A4E44" w:rsidRDefault="001D2868" w:rsidP="00F15331">
      <w:pPr>
        <w:pStyle w:val="SingleTxtG"/>
        <w:numPr>
          <w:ilvl w:val="0"/>
          <w:numId w:val="9"/>
        </w:numPr>
        <w:ind w:left="1134" w:firstLine="567"/>
        <w:rPr>
          <w:rFonts w:eastAsia="MS Mincho"/>
          <w:lang w:eastAsia="en-GB"/>
        </w:rPr>
      </w:pPr>
      <w:r w:rsidRPr="001A4E44">
        <w:rPr>
          <w:rFonts w:eastAsia="MS Mincho"/>
          <w:b/>
          <w:bCs/>
          <w:lang w:eastAsia="en-GB"/>
        </w:rPr>
        <w:t>Extent or reach of the speech act</w:t>
      </w:r>
      <w:r w:rsidRPr="001A4E44">
        <w:rPr>
          <w:rFonts w:eastAsia="MS Mincho"/>
          <w:lang w:eastAsia="en-GB"/>
        </w:rPr>
        <w:t>, such as the “magnitude and size of its audience”, including whether it was “a single leaflet or broadcast in the mainstream media or via the internet, the frequency, the quantity and the extent of the communication, whether the audience had the means to act on the incitement</w:t>
      </w:r>
      <w:r w:rsidR="005B1DCF">
        <w:rPr>
          <w:rFonts w:eastAsia="MS Mincho"/>
          <w:lang w:eastAsia="en-GB"/>
        </w:rPr>
        <w:t xml:space="preserve"> . . .</w:t>
      </w:r>
      <w:r w:rsidRPr="001A4E44">
        <w:rPr>
          <w:rFonts w:eastAsia="MS Mincho"/>
          <w:lang w:eastAsia="en-GB"/>
        </w:rPr>
        <w:t>”; and</w:t>
      </w:r>
    </w:p>
    <w:p w14:paraId="4C3B3C39" w14:textId="16A7E9C6" w:rsidR="001D2868" w:rsidRPr="004078BC" w:rsidRDefault="001D2868" w:rsidP="00F15331">
      <w:pPr>
        <w:pStyle w:val="SingleTxtG"/>
        <w:numPr>
          <w:ilvl w:val="0"/>
          <w:numId w:val="9"/>
        </w:numPr>
        <w:ind w:left="1134" w:firstLine="567"/>
        <w:rPr>
          <w:rFonts w:eastAsia="MS Mincho"/>
          <w:lang w:eastAsia="en-GB"/>
        </w:rPr>
      </w:pPr>
      <w:r w:rsidRPr="001A4E44">
        <w:rPr>
          <w:rFonts w:eastAsia="MS Mincho"/>
          <w:lang w:eastAsia="en-GB"/>
        </w:rPr>
        <w:t xml:space="preserve">Its </w:t>
      </w:r>
      <w:r w:rsidRPr="001A4E44">
        <w:rPr>
          <w:rFonts w:eastAsia="MS Mincho"/>
          <w:b/>
          <w:bCs/>
          <w:lang w:eastAsia="en-GB"/>
        </w:rPr>
        <w:t>likelihood</w:t>
      </w:r>
      <w:r w:rsidR="005B1DCF">
        <w:rPr>
          <w:rFonts w:eastAsia="MS Mincho"/>
          <w:b/>
          <w:bCs/>
          <w:lang w:eastAsia="en-GB"/>
        </w:rPr>
        <w:t>, including</w:t>
      </w:r>
      <w:r w:rsidRPr="001A4E44">
        <w:rPr>
          <w:rFonts w:eastAsia="MS Mincho"/>
          <w:b/>
          <w:bCs/>
          <w:lang w:eastAsia="en-GB"/>
        </w:rPr>
        <w:t xml:space="preserve"> imminence</w:t>
      </w:r>
      <w:r w:rsidRPr="001A4E44">
        <w:rPr>
          <w:rFonts w:eastAsia="MS Mincho"/>
          <w:lang w:eastAsia="en-GB"/>
        </w:rPr>
        <w:t>, such that “some degree of</w:t>
      </w:r>
      <w:r w:rsidR="005B1DCF">
        <w:rPr>
          <w:rFonts w:eastAsia="MS Mincho"/>
          <w:lang w:eastAsia="en-GB"/>
        </w:rPr>
        <w:t xml:space="preserve"> risk of</w:t>
      </w:r>
      <w:r w:rsidRPr="001A4E44">
        <w:rPr>
          <w:rFonts w:eastAsia="MS Mincho"/>
          <w:lang w:eastAsia="en-GB"/>
        </w:rPr>
        <w:t xml:space="preserve"> harm must be identified,” including </w:t>
      </w:r>
      <w:r w:rsidR="005B1DCF">
        <w:rPr>
          <w:rFonts w:eastAsia="MS Mincho"/>
          <w:lang w:eastAsia="en-GB"/>
        </w:rPr>
        <w:t>through</w:t>
      </w:r>
      <w:r w:rsidR="005B1DCF" w:rsidRPr="001A4E44">
        <w:rPr>
          <w:rFonts w:eastAsia="MS Mincho"/>
          <w:lang w:eastAsia="en-GB"/>
        </w:rPr>
        <w:t xml:space="preserve"> </w:t>
      </w:r>
      <w:r w:rsidRPr="001A4E44">
        <w:rPr>
          <w:rFonts w:eastAsia="MS Mincho"/>
          <w:lang w:eastAsia="en-GB"/>
        </w:rPr>
        <w:t xml:space="preserve">determination (by courts, it suggests) of a </w:t>
      </w:r>
      <w:r w:rsidRPr="001A4E44">
        <w:rPr>
          <w:rFonts w:eastAsia="MS Mincho"/>
          <w:lang w:eastAsia="en-GB"/>
        </w:rPr>
        <w:lastRenderedPageBreak/>
        <w:t>“reasonable probability that the speech would succeed in inciting actual action against the target group”.</w:t>
      </w:r>
      <w:r w:rsidRPr="001A4E44">
        <w:rPr>
          <w:rFonts w:eastAsia="MS Mincho"/>
          <w:sz w:val="18"/>
          <w:vertAlign w:val="superscript"/>
          <w:lang w:eastAsia="en-GB"/>
        </w:rPr>
        <w:footnoteReference w:id="28"/>
      </w:r>
    </w:p>
    <w:p w14:paraId="22CA8D4B" w14:textId="69EC5D52" w:rsidR="001A4E44" w:rsidRPr="001A4E44" w:rsidRDefault="00732E36" w:rsidP="007C4AF6">
      <w:pPr>
        <w:pStyle w:val="SingleTxtG"/>
        <w:rPr>
          <w:rFonts w:eastAsia="MS Mincho"/>
        </w:rPr>
      </w:pPr>
      <w:r>
        <w:rPr>
          <w:rFonts w:eastAsia="MS Mincho"/>
        </w:rPr>
        <w:t>15</w:t>
      </w:r>
      <w:r w:rsidR="004557FB">
        <w:rPr>
          <w:rFonts w:eastAsia="MS Mincho"/>
        </w:rPr>
        <w:t>.</w:t>
      </w:r>
      <w:r w:rsidR="004557FB">
        <w:rPr>
          <w:rFonts w:eastAsia="MS Mincho"/>
        </w:rPr>
        <w:tab/>
      </w:r>
      <w:r w:rsidR="004078BC">
        <w:rPr>
          <w:rFonts w:eastAsia="MS Mincho"/>
        </w:rPr>
        <w:t>In 2013</w:t>
      </w:r>
      <w:r w:rsidR="00A04E22">
        <w:rPr>
          <w:rFonts w:eastAsia="MS Mincho"/>
        </w:rPr>
        <w:t>,</w:t>
      </w:r>
      <w:r w:rsidR="004078BC">
        <w:rPr>
          <w:rFonts w:eastAsia="MS Mincho"/>
        </w:rPr>
        <w:t xml:space="preserve"> </w:t>
      </w:r>
      <w:r w:rsidR="004557FB">
        <w:rPr>
          <w:rFonts w:eastAsia="MS Mincho"/>
        </w:rPr>
        <w:t>t</w:t>
      </w:r>
      <w:r w:rsidR="001A4E44" w:rsidRPr="001A4E44">
        <w:rPr>
          <w:rFonts w:eastAsia="MS Mincho"/>
        </w:rPr>
        <w:t>he Committee on the Elimination of Racial Discrimination (“CERD Committee”)</w:t>
      </w:r>
      <w:r w:rsidR="00A8417B">
        <w:rPr>
          <w:rFonts w:eastAsia="MS Mincho"/>
        </w:rPr>
        <w:t>, the expert monitoring body for the ICERD,</w:t>
      </w:r>
      <w:r w:rsidR="002B6F5B">
        <w:rPr>
          <w:rFonts w:eastAsia="MS Mincho"/>
        </w:rPr>
        <w:t xml:space="preserve"> follow</w:t>
      </w:r>
      <w:r w:rsidR="00853846">
        <w:rPr>
          <w:rFonts w:eastAsia="MS Mincho"/>
        </w:rPr>
        <w:t>ed</w:t>
      </w:r>
      <w:r w:rsidR="002B6F5B">
        <w:rPr>
          <w:rFonts w:eastAsia="MS Mincho"/>
        </w:rPr>
        <w:t xml:space="preserve"> the lead of the Human Rights Committee and the Rabat Plan of Action. It</w:t>
      </w:r>
      <w:r w:rsidR="001A4E44" w:rsidRPr="001A4E44">
        <w:rPr>
          <w:rFonts w:eastAsia="MS Mincho"/>
        </w:rPr>
        <w:t xml:space="preserve"> </w:t>
      </w:r>
      <w:r w:rsidR="004557FB">
        <w:rPr>
          <w:rFonts w:eastAsia="MS Mincho"/>
        </w:rPr>
        <w:t>clarified</w:t>
      </w:r>
      <w:r w:rsidR="001A4E44" w:rsidRPr="001A4E44">
        <w:rPr>
          <w:rFonts w:eastAsia="MS Mincho"/>
        </w:rPr>
        <w:t xml:space="preserve"> the “due regard” language of </w:t>
      </w:r>
      <w:r w:rsidR="002B6F5B">
        <w:rPr>
          <w:rFonts w:eastAsia="MS Mincho"/>
        </w:rPr>
        <w:t xml:space="preserve">ICERD </w:t>
      </w:r>
      <w:r w:rsidR="001A4E44" w:rsidRPr="001A4E44">
        <w:rPr>
          <w:rFonts w:eastAsia="MS Mincho"/>
        </w:rPr>
        <w:t>Article 4</w:t>
      </w:r>
      <w:r w:rsidR="001D2868">
        <w:rPr>
          <w:rFonts w:eastAsia="MS Mincho"/>
        </w:rPr>
        <w:t xml:space="preserve"> </w:t>
      </w:r>
      <w:r w:rsidR="001A4E44" w:rsidRPr="001A4E44">
        <w:rPr>
          <w:rFonts w:eastAsia="MS Mincho"/>
        </w:rPr>
        <w:t>to require strict compliance with freedom of expression guarantees.</w:t>
      </w:r>
      <w:r w:rsidR="001A4E44" w:rsidRPr="001A4E44">
        <w:rPr>
          <w:rFonts w:eastAsia="MS Mincho"/>
          <w:sz w:val="18"/>
          <w:vertAlign w:val="superscript"/>
        </w:rPr>
        <w:footnoteReference w:id="29"/>
      </w:r>
      <w:r w:rsidR="001A4E44" w:rsidRPr="001A4E44">
        <w:rPr>
          <w:rFonts w:eastAsia="MS Mincho"/>
        </w:rPr>
        <w:t xml:space="preserve"> </w:t>
      </w:r>
      <w:r w:rsidR="004078BC">
        <w:rPr>
          <w:rFonts w:eastAsia="MS Mincho"/>
        </w:rPr>
        <w:t>In a sign of converging interpretation</w:t>
      </w:r>
      <w:r w:rsidR="002B6F5B">
        <w:rPr>
          <w:rFonts w:eastAsia="MS Mincho"/>
        </w:rPr>
        <w:t>s</w:t>
      </w:r>
      <w:r w:rsidR="004078BC">
        <w:rPr>
          <w:rFonts w:eastAsia="MS Mincho"/>
        </w:rPr>
        <w:t>, the CERD Committee</w:t>
      </w:r>
      <w:r w:rsidR="001A4E44" w:rsidRPr="001A4E44">
        <w:rPr>
          <w:rFonts w:eastAsia="MS Mincho"/>
        </w:rPr>
        <w:t xml:space="preserve"> em</w:t>
      </w:r>
      <w:r w:rsidR="00B24EA8">
        <w:rPr>
          <w:rFonts w:eastAsia="MS Mincho"/>
        </w:rPr>
        <w:t>phasized that criminalisation</w:t>
      </w:r>
      <w:r w:rsidR="001D2868">
        <w:rPr>
          <w:rFonts w:eastAsia="MS Mincho"/>
        </w:rPr>
        <w:t xml:space="preserve"> under Article 4</w:t>
      </w:r>
      <w:r w:rsidR="00B24EA8">
        <w:rPr>
          <w:rFonts w:eastAsia="MS Mincho"/>
        </w:rPr>
        <w:t xml:space="preserve">: </w:t>
      </w:r>
    </w:p>
    <w:p w14:paraId="4F9B4B5D" w14:textId="77777777" w:rsidR="001A4E44" w:rsidRPr="001A4E44" w:rsidRDefault="001A4E44" w:rsidP="004078BC">
      <w:pPr>
        <w:pStyle w:val="SingleTxtG"/>
        <w:ind w:left="1494"/>
        <w:rPr>
          <w:rFonts w:eastAsia="MS Mincho"/>
        </w:rPr>
      </w:pPr>
      <w:r w:rsidRPr="001A4E44">
        <w:rPr>
          <w:rFonts w:eastAsia="MS Mincho"/>
        </w:rPr>
        <w:t>“should be reserved for serious cases, to be proven beyond reasonable doubt, while less serious cases should be addressed by means other than criminal law, taking into account, inter alia, the nature and extent of the impact on targeted persons and groups. The application of criminal sanctions should be governed by principles of legality, proportionality and necessity.”</w:t>
      </w:r>
      <w:r w:rsidRPr="001A4E44">
        <w:rPr>
          <w:rFonts w:eastAsia="MS Mincho"/>
          <w:sz w:val="18"/>
          <w:vertAlign w:val="superscript"/>
        </w:rPr>
        <w:footnoteReference w:id="30"/>
      </w:r>
      <w:r w:rsidR="00B24EA8">
        <w:rPr>
          <w:rFonts w:eastAsia="MS Mincho"/>
        </w:rPr>
        <w:t xml:space="preserve"> </w:t>
      </w:r>
    </w:p>
    <w:p w14:paraId="7C85854C" w14:textId="6E5D425C" w:rsidR="00D351E8" w:rsidRDefault="00732E36" w:rsidP="00D351E8">
      <w:pPr>
        <w:pStyle w:val="SingleTxtG"/>
        <w:rPr>
          <w:rFonts w:eastAsia="MS Mincho"/>
        </w:rPr>
      </w:pPr>
      <w:r>
        <w:rPr>
          <w:rFonts w:eastAsia="MS Mincho"/>
        </w:rPr>
        <w:t>16</w:t>
      </w:r>
      <w:r w:rsidR="004078BC">
        <w:rPr>
          <w:rFonts w:eastAsia="MS Mincho"/>
        </w:rPr>
        <w:t>.</w:t>
      </w:r>
      <w:r w:rsidR="004078BC">
        <w:rPr>
          <w:rFonts w:eastAsia="MS Mincho"/>
        </w:rPr>
        <w:tab/>
      </w:r>
      <w:r w:rsidR="00D351E8">
        <w:rPr>
          <w:rFonts w:eastAsia="MS Mincho"/>
        </w:rPr>
        <w:t>The CERD Committee explain</w:t>
      </w:r>
      <w:r w:rsidR="00775D61">
        <w:rPr>
          <w:rFonts w:eastAsia="MS Mincho"/>
        </w:rPr>
        <w:t>ed</w:t>
      </w:r>
      <w:r w:rsidR="00D351E8">
        <w:rPr>
          <w:rFonts w:eastAsia="MS Mincho"/>
        </w:rPr>
        <w:t xml:space="preserve"> that ICCPR Article 19’s </w:t>
      </w:r>
      <w:r w:rsidR="00775D61">
        <w:rPr>
          <w:rFonts w:eastAsia="MS Mincho"/>
        </w:rPr>
        <w:t>conditions</w:t>
      </w:r>
      <w:r w:rsidR="00D351E8">
        <w:rPr>
          <w:rFonts w:eastAsia="MS Mincho"/>
        </w:rPr>
        <w:t xml:space="preserve"> also apply to restrictions under </w:t>
      </w:r>
      <w:r w:rsidR="00872618">
        <w:rPr>
          <w:rFonts w:eastAsia="MS Mincho"/>
        </w:rPr>
        <w:t>I</w:t>
      </w:r>
      <w:r w:rsidR="00D351E8">
        <w:rPr>
          <w:rFonts w:eastAsia="MS Mincho"/>
        </w:rPr>
        <w:t>CERD Article 4.</w:t>
      </w:r>
      <w:r w:rsidR="00D351E8">
        <w:rPr>
          <w:rStyle w:val="FootnoteReference"/>
          <w:rFonts w:eastAsia="MS Mincho"/>
        </w:rPr>
        <w:footnoteReference w:id="31"/>
      </w:r>
      <w:r w:rsidR="00D351E8">
        <w:rPr>
          <w:rFonts w:eastAsia="MS Mincho"/>
        </w:rPr>
        <w:t xml:space="preserve"> </w:t>
      </w:r>
      <w:r w:rsidR="004078BC">
        <w:rPr>
          <w:rFonts w:eastAsia="MS Mincho"/>
        </w:rPr>
        <w:t>D</w:t>
      </w:r>
      <w:r w:rsidR="00D351E8" w:rsidRPr="001A4E44">
        <w:rPr>
          <w:rFonts w:eastAsia="MS Mincho"/>
        </w:rPr>
        <w:t>issemination and incitement</w:t>
      </w:r>
      <w:r w:rsidR="00872618">
        <w:rPr>
          <w:rFonts w:eastAsia="MS Mincho"/>
        </w:rPr>
        <w:t>, the CERD Committee found,</w:t>
      </w:r>
      <w:r w:rsidR="00D351E8" w:rsidRPr="001A4E44">
        <w:rPr>
          <w:rFonts w:eastAsia="MS Mincho"/>
        </w:rPr>
        <w:t xml:space="preserve"> require that States take into account a range of factors in determining whether particular expression falls into a prohibited category, including the speech’s “content and form”, the “economic, social and political climate” at issue during the time of the expression, the “position or status of the speaker,” the “reach of the speech,” and its objectives.</w:t>
      </w:r>
      <w:r w:rsidR="00D351E8" w:rsidRPr="001A4E44">
        <w:rPr>
          <w:rFonts w:eastAsia="MS Mincho"/>
          <w:sz w:val="18"/>
          <w:vertAlign w:val="superscript"/>
        </w:rPr>
        <w:footnoteReference w:id="32"/>
      </w:r>
      <w:r w:rsidR="00D351E8">
        <w:rPr>
          <w:rFonts w:eastAsia="MS Mincho"/>
        </w:rPr>
        <w:t xml:space="preserve">  The Committee recommended consideration of “the imminent risk of likelihood that the conduct desired or intended by the speaker will result from the speech in questions.” </w:t>
      </w:r>
    </w:p>
    <w:p w14:paraId="4CA91DCE" w14:textId="56E2AB58" w:rsidR="001D2868" w:rsidRDefault="00732E36" w:rsidP="00B24EA8">
      <w:pPr>
        <w:pStyle w:val="SingleTxtG"/>
        <w:rPr>
          <w:rFonts w:eastAsia="MS Mincho"/>
        </w:rPr>
      </w:pPr>
      <w:r>
        <w:rPr>
          <w:rFonts w:eastAsia="MS Mincho"/>
        </w:rPr>
        <w:t>17</w:t>
      </w:r>
      <w:r w:rsidR="00B24EA8">
        <w:rPr>
          <w:rFonts w:eastAsia="MS Mincho"/>
        </w:rPr>
        <w:t>.</w:t>
      </w:r>
      <w:r w:rsidR="00B24EA8">
        <w:rPr>
          <w:rFonts w:eastAsia="MS Mincho"/>
        </w:rPr>
        <w:tab/>
      </w:r>
      <w:r w:rsidR="001A4E44" w:rsidRPr="001A4E44">
        <w:rPr>
          <w:rFonts w:eastAsia="MS Mincho"/>
        </w:rPr>
        <w:t>The CERD Committee also found that the ICERD requires the prohibition of “insults, ridicule or slander of persons or groups or justification of hatred, contempt or discrimination”, emphasizing that such expression may only be prohibited where it “clearly amounts to incitement to hatred or discrimination.”</w:t>
      </w:r>
      <w:r w:rsidR="001A4E44" w:rsidRPr="001A4E44">
        <w:rPr>
          <w:rFonts w:eastAsia="MS Mincho"/>
          <w:sz w:val="18"/>
          <w:vertAlign w:val="superscript"/>
        </w:rPr>
        <w:footnoteReference w:id="33"/>
      </w:r>
      <w:r w:rsidR="001A4E44" w:rsidRPr="001A4E44">
        <w:rPr>
          <w:rFonts w:eastAsia="MS Mincho"/>
        </w:rPr>
        <w:t xml:space="preserve"> </w:t>
      </w:r>
      <w:r w:rsidR="00A04E22" w:rsidRPr="00A04E22">
        <w:rPr>
          <w:rFonts w:eastAsia="MS Mincho"/>
        </w:rPr>
        <w:t xml:space="preserve">The language </w:t>
      </w:r>
      <w:r w:rsidR="00A04E22">
        <w:rPr>
          <w:rFonts w:eastAsia="MS Mincho"/>
        </w:rPr>
        <w:t>of</w:t>
      </w:r>
      <w:r w:rsidR="00A04E22" w:rsidRPr="00A04E22">
        <w:rPr>
          <w:rFonts w:eastAsia="MS Mincho"/>
        </w:rPr>
        <w:t xml:space="preserve"> ridicule</w:t>
      </w:r>
      <w:r w:rsidR="00A04E22">
        <w:rPr>
          <w:rFonts w:eastAsia="MS Mincho"/>
        </w:rPr>
        <w:t xml:space="preserve"> and</w:t>
      </w:r>
      <w:r w:rsidR="00A04E22" w:rsidRPr="00A04E22">
        <w:rPr>
          <w:rFonts w:eastAsia="MS Mincho"/>
        </w:rPr>
        <w:t xml:space="preserve"> justification</w:t>
      </w:r>
      <w:r w:rsidR="00A04E22">
        <w:rPr>
          <w:rFonts w:eastAsia="MS Mincho"/>
        </w:rPr>
        <w:t xml:space="preserve"> are</w:t>
      </w:r>
      <w:r w:rsidR="00A04E22" w:rsidRPr="00A04E22">
        <w:rPr>
          <w:rFonts w:eastAsia="MS Mincho"/>
        </w:rPr>
        <w:t xml:space="preserve"> extremely broad and generally </w:t>
      </w:r>
      <w:r w:rsidR="00A04E22">
        <w:rPr>
          <w:rFonts w:eastAsia="MS Mincho"/>
        </w:rPr>
        <w:t>precluded from restriction under</w:t>
      </w:r>
      <w:r w:rsidR="00A04E22" w:rsidRPr="00A04E22">
        <w:rPr>
          <w:rFonts w:eastAsia="MS Mincho"/>
        </w:rPr>
        <w:t xml:space="preserve"> international human rights law, which protects the right to offend and mock.</w:t>
      </w:r>
      <w:r w:rsidR="00A04E22">
        <w:rPr>
          <w:rFonts w:eastAsia="MS Mincho"/>
        </w:rPr>
        <w:t xml:space="preserve"> Thus, the tie to incitement, and to the Article 19(3) framework, helps constrain such a prohibition to the most serious category.</w:t>
      </w:r>
    </w:p>
    <w:p w14:paraId="69EDB1AF" w14:textId="5A336036" w:rsidR="001A4E44" w:rsidRPr="001A4E44" w:rsidRDefault="00732E36" w:rsidP="00B24EA8">
      <w:pPr>
        <w:pStyle w:val="SingleTxtG"/>
        <w:rPr>
          <w:rFonts w:eastAsia="MS Mincho"/>
        </w:rPr>
      </w:pPr>
      <w:r>
        <w:rPr>
          <w:rFonts w:eastAsia="MS Mincho"/>
        </w:rPr>
        <w:t>18</w:t>
      </w:r>
      <w:r w:rsidR="001A4E44" w:rsidRPr="001A4E44">
        <w:rPr>
          <w:rFonts w:eastAsia="MS Mincho"/>
        </w:rPr>
        <w:t>.</w:t>
      </w:r>
      <w:r w:rsidR="001A4E44" w:rsidRPr="001A4E44">
        <w:rPr>
          <w:rFonts w:eastAsia="MS Mincho"/>
        </w:rPr>
        <w:tab/>
      </w:r>
      <w:r w:rsidR="00F254F7">
        <w:rPr>
          <w:rFonts w:eastAsia="MS Mincho"/>
        </w:rPr>
        <w:t>The Rabat Plan of Action also clarifies that criminalization should be left for the most serious sorts of incitement</w:t>
      </w:r>
      <w:r w:rsidR="00434426">
        <w:rPr>
          <w:rFonts w:eastAsia="MS Mincho"/>
        </w:rPr>
        <w:t xml:space="preserve"> under Article 20(2)</w:t>
      </w:r>
      <w:r w:rsidR="00F254F7">
        <w:rPr>
          <w:rFonts w:eastAsia="MS Mincho"/>
        </w:rPr>
        <w:t>, and generally other approaches deserve consideration first</w:t>
      </w:r>
      <w:r w:rsidR="004078BC">
        <w:rPr>
          <w:rFonts w:eastAsia="MS Mincho"/>
        </w:rPr>
        <w:t>.</w:t>
      </w:r>
      <w:r w:rsidR="001A4E44" w:rsidRPr="001A4E44">
        <w:rPr>
          <w:rFonts w:eastAsia="MS Mincho"/>
          <w:sz w:val="18"/>
          <w:vertAlign w:val="superscript"/>
        </w:rPr>
        <w:footnoteReference w:id="34"/>
      </w:r>
      <w:r w:rsidR="001A4E44" w:rsidRPr="001A4E44">
        <w:rPr>
          <w:rFonts w:eastAsia="MS Mincho"/>
        </w:rPr>
        <w:t xml:space="preserve"> These approaches include public statements by leaders in society that counter hate speech and foster tolerance and inter-community respect; education and inter-cultural dialogue; expanding access to information and ideas of a range of kinds that counter hateful messages; promotion and training in human rights principles and standards. The recognition of steps other than legal prohibitions highlights that prohibition </w:t>
      </w:r>
      <w:r w:rsidR="00F254F7">
        <w:rPr>
          <w:rFonts w:eastAsia="MS Mincho"/>
        </w:rPr>
        <w:t>will often</w:t>
      </w:r>
      <w:r w:rsidR="00F254F7" w:rsidRPr="001A4E44">
        <w:rPr>
          <w:rFonts w:eastAsia="MS Mincho"/>
        </w:rPr>
        <w:t xml:space="preserve"> </w:t>
      </w:r>
      <w:r w:rsidR="001A4E44" w:rsidRPr="001A4E44">
        <w:rPr>
          <w:rFonts w:eastAsia="MS Mincho"/>
        </w:rPr>
        <w:t>not be the least restrictive measure available to States con</w:t>
      </w:r>
      <w:r w:rsidR="00B24EA8">
        <w:rPr>
          <w:rFonts w:eastAsia="MS Mincho"/>
        </w:rPr>
        <w:t xml:space="preserve">fronting hate speech problems. </w:t>
      </w:r>
    </w:p>
    <w:p w14:paraId="5EC67132" w14:textId="77777777" w:rsidR="001A4E44" w:rsidRPr="00B24EA8" w:rsidRDefault="00B24EA8" w:rsidP="00B24EA8">
      <w:pPr>
        <w:pStyle w:val="H23G"/>
        <w:rPr>
          <w:rFonts w:eastAsia="MS Mincho"/>
        </w:rPr>
      </w:pPr>
      <w:r>
        <w:rPr>
          <w:rFonts w:eastAsia="MS Mincho"/>
        </w:rPr>
        <w:lastRenderedPageBreak/>
        <w:tab/>
      </w:r>
      <w:r>
        <w:rPr>
          <w:rFonts w:eastAsia="MS Mincho"/>
        </w:rPr>
        <w:tab/>
      </w:r>
      <w:r w:rsidR="001A4E44" w:rsidRPr="001A4E44">
        <w:rPr>
          <w:rFonts w:eastAsia="MS Mincho"/>
        </w:rPr>
        <w:t>Hateful expression that may not co</w:t>
      </w:r>
      <w:r>
        <w:rPr>
          <w:rFonts w:eastAsia="MS Mincho"/>
        </w:rPr>
        <w:t>nstitute advocacy or incitement</w:t>
      </w:r>
    </w:p>
    <w:p w14:paraId="43DA3515" w14:textId="1B476803" w:rsidR="00434426" w:rsidRPr="00937C22" w:rsidRDefault="00A06B51" w:rsidP="00937C22">
      <w:pPr>
        <w:pStyle w:val="SingleTxtG"/>
        <w:rPr>
          <w:rFonts w:eastAsia="MS Mincho"/>
          <w:lang w:val="en-US"/>
        </w:rPr>
      </w:pPr>
      <w:r>
        <w:rPr>
          <w:rFonts w:eastAsia="MS Mincho"/>
        </w:rPr>
        <w:t>19</w:t>
      </w:r>
      <w:r w:rsidR="001A4E44" w:rsidRPr="001A4E44">
        <w:rPr>
          <w:rFonts w:eastAsia="MS Mincho"/>
        </w:rPr>
        <w:t>.</w:t>
      </w:r>
      <w:r w:rsidR="001A4E44" w:rsidRPr="001A4E44">
        <w:rPr>
          <w:rFonts w:eastAsia="MS Mincho"/>
        </w:rPr>
        <w:tab/>
      </w:r>
      <w:r w:rsidR="00937C22">
        <w:rPr>
          <w:rFonts w:eastAsia="MS Mincho"/>
        </w:rPr>
        <w:t>O</w:t>
      </w:r>
      <w:r w:rsidR="00C61F4E">
        <w:rPr>
          <w:rFonts w:eastAsia="MS Mincho"/>
        </w:rPr>
        <w:t xml:space="preserve">ther kinds of </w:t>
      </w:r>
      <w:r w:rsidR="00434426">
        <w:rPr>
          <w:rFonts w:eastAsia="MS Mincho"/>
        </w:rPr>
        <w:t>speech</w:t>
      </w:r>
      <w:r w:rsidR="00C61F4E">
        <w:rPr>
          <w:rFonts w:eastAsia="MS Mincho"/>
        </w:rPr>
        <w:t xml:space="preserve"> </w:t>
      </w:r>
      <w:r w:rsidR="00937C22">
        <w:rPr>
          <w:rFonts w:eastAsia="MS Mincho"/>
        </w:rPr>
        <w:t>may</w:t>
      </w:r>
      <w:r w:rsidR="00434426">
        <w:rPr>
          <w:rFonts w:eastAsia="MS Mincho"/>
        </w:rPr>
        <w:t xml:space="preserve"> not meet the Article 20(2) or Article 4 definitions or thresholds but involve, for example, advocacy of hatred</w:t>
      </w:r>
      <w:r w:rsidR="00937C22">
        <w:rPr>
          <w:rFonts w:eastAsia="MS Mincho"/>
        </w:rPr>
        <w:t>.</w:t>
      </w:r>
      <w:r w:rsidR="00C61F4E">
        <w:rPr>
          <w:rFonts w:eastAsia="MS Mincho"/>
        </w:rPr>
        <w:t xml:space="preserve"> </w:t>
      </w:r>
      <w:r w:rsidR="004B2059">
        <w:rPr>
          <w:rFonts w:eastAsia="MS Mincho"/>
        </w:rPr>
        <w:t xml:space="preserve">The question arises: </w:t>
      </w:r>
      <w:r w:rsidR="00434426">
        <w:rPr>
          <w:rFonts w:eastAsia="MS Mincho"/>
        </w:rPr>
        <w:t>M</w:t>
      </w:r>
      <w:r w:rsidR="00C61F4E">
        <w:rPr>
          <w:rFonts w:eastAsia="MS Mincho"/>
        </w:rPr>
        <w:t>ay States restrict</w:t>
      </w:r>
      <w:r w:rsidR="00937C22">
        <w:rPr>
          <w:rFonts w:eastAsia="MS Mincho"/>
        </w:rPr>
        <w:t xml:space="preserve"> </w:t>
      </w:r>
      <w:r w:rsidR="001A4E44" w:rsidRPr="001A4E44">
        <w:rPr>
          <w:rFonts w:eastAsia="MS Mincho"/>
        </w:rPr>
        <w:t>‘advocacy of hatred’</w:t>
      </w:r>
      <w:r w:rsidR="00937C22">
        <w:rPr>
          <w:rFonts w:eastAsia="MS Mincho"/>
        </w:rPr>
        <w:t xml:space="preserve"> </w:t>
      </w:r>
      <w:r w:rsidR="00C61F4E">
        <w:rPr>
          <w:rFonts w:eastAsia="MS Mincho"/>
        </w:rPr>
        <w:t>that does</w:t>
      </w:r>
      <w:r w:rsidR="001A4E44" w:rsidRPr="001A4E44">
        <w:rPr>
          <w:rFonts w:eastAsia="MS Mincho"/>
        </w:rPr>
        <w:t xml:space="preserve"> not constitute incitement to discrimination, hostility, or violence</w:t>
      </w:r>
      <w:r w:rsidR="00C61F4E">
        <w:rPr>
          <w:rFonts w:eastAsia="MS Mincho"/>
        </w:rPr>
        <w:t xml:space="preserve">? </w:t>
      </w:r>
      <w:r w:rsidR="00937C22">
        <w:rPr>
          <w:rFonts w:eastAsia="MS Mincho"/>
        </w:rPr>
        <w:t>May they restrict ‘hate speech’ when defined, as a UN panel did recently, as speech “</w:t>
      </w:r>
      <w:r w:rsidR="00937C22" w:rsidRPr="00937C22">
        <w:rPr>
          <w:rFonts w:eastAsia="MS Mincho"/>
          <w:lang w:val="en-US"/>
        </w:rPr>
        <w:t>that attacks or uses pejorative or discriminatory language with reference to a person or a group on the basis of who they are, in other words, based on their religion, ethnicity, nationality, race, colour, descent, gender or other identity factor.</w:t>
      </w:r>
      <w:r w:rsidR="00937C22">
        <w:rPr>
          <w:rFonts w:eastAsia="MS Mincho"/>
          <w:lang w:val="en-US"/>
        </w:rPr>
        <w:t>”</w:t>
      </w:r>
      <w:r w:rsidR="00937C22">
        <w:rPr>
          <w:rStyle w:val="FootnoteReference"/>
          <w:rFonts w:eastAsia="MS Mincho"/>
          <w:lang w:val="en-US"/>
        </w:rPr>
        <w:footnoteReference w:id="35"/>
      </w:r>
      <w:r w:rsidR="00937C22">
        <w:rPr>
          <w:rFonts w:eastAsia="MS Mincho"/>
          <w:lang w:val="en-US"/>
        </w:rPr>
        <w:t xml:space="preserve"> Clearly this is language short of Article 20(2) and Article 4’s incitement</w:t>
      </w:r>
      <w:r w:rsidR="00D25056">
        <w:rPr>
          <w:rFonts w:eastAsia="MS Mincho"/>
          <w:lang w:val="en-US"/>
        </w:rPr>
        <w:t xml:space="preserve">, and while States and companies should combat such attitudes with education, condemnation and other tools, legal </w:t>
      </w:r>
      <w:r w:rsidR="00D42D8E">
        <w:rPr>
          <w:rFonts w:eastAsia="MS Mincho"/>
          <w:lang w:val="en-US"/>
        </w:rPr>
        <w:t>restrictions</w:t>
      </w:r>
      <w:r w:rsidR="00D25056">
        <w:rPr>
          <w:rFonts w:eastAsia="MS Mincho"/>
          <w:lang w:val="en-US"/>
        </w:rPr>
        <w:t xml:space="preserve"> </w:t>
      </w:r>
      <w:r w:rsidR="00AA410A">
        <w:rPr>
          <w:rFonts w:eastAsia="MS Mincho"/>
          <w:lang w:val="en-US"/>
        </w:rPr>
        <w:t>will</w:t>
      </w:r>
      <w:r w:rsidR="00D25056">
        <w:rPr>
          <w:rFonts w:eastAsia="MS Mincho"/>
          <w:lang w:val="en-US"/>
        </w:rPr>
        <w:t xml:space="preserve"> </w:t>
      </w:r>
      <w:r w:rsidR="00D42D8E">
        <w:rPr>
          <w:rFonts w:eastAsia="MS Mincho"/>
          <w:lang w:val="en-US"/>
        </w:rPr>
        <w:t>need to</w:t>
      </w:r>
      <w:r w:rsidR="00D25056">
        <w:rPr>
          <w:rFonts w:eastAsia="MS Mincho"/>
          <w:lang w:val="en-US"/>
        </w:rPr>
        <w:t xml:space="preserve"> meet the </w:t>
      </w:r>
      <w:r w:rsidR="00AA410A">
        <w:rPr>
          <w:rFonts w:eastAsia="MS Mincho"/>
          <w:lang w:val="en-US"/>
        </w:rPr>
        <w:t xml:space="preserve">strict </w:t>
      </w:r>
      <w:r w:rsidR="00D25056">
        <w:rPr>
          <w:rFonts w:eastAsia="MS Mincho"/>
          <w:lang w:val="en-US"/>
        </w:rPr>
        <w:t>standards of international human rights law.</w:t>
      </w:r>
    </w:p>
    <w:p w14:paraId="512EE079" w14:textId="3D084A7C" w:rsidR="00C61F4E" w:rsidRDefault="00434426" w:rsidP="00D25056">
      <w:pPr>
        <w:pStyle w:val="SingleTxtG"/>
        <w:rPr>
          <w:rFonts w:eastAsia="MS Mincho"/>
        </w:rPr>
      </w:pPr>
      <w:r>
        <w:rPr>
          <w:rFonts w:eastAsia="MS Mincho"/>
        </w:rPr>
        <w:t>20.</w:t>
      </w:r>
      <w:r>
        <w:rPr>
          <w:rFonts w:eastAsia="MS Mincho"/>
        </w:rPr>
        <w:tab/>
      </w:r>
      <w:r w:rsidR="001A4E44" w:rsidRPr="001A4E44">
        <w:rPr>
          <w:rFonts w:eastAsia="MS Mincho"/>
        </w:rPr>
        <w:t>For content</w:t>
      </w:r>
      <w:r>
        <w:rPr>
          <w:rFonts w:eastAsia="MS Mincho"/>
        </w:rPr>
        <w:t xml:space="preserve"> that involves </w:t>
      </w:r>
      <w:r w:rsidR="00D42D8E">
        <w:rPr>
          <w:rFonts w:eastAsia="MS Mincho"/>
        </w:rPr>
        <w:t>the kind of speech</w:t>
      </w:r>
      <w:r w:rsidR="00937C22">
        <w:rPr>
          <w:rFonts w:eastAsia="MS Mincho"/>
        </w:rPr>
        <w:t xml:space="preserve"> as defined by the UN panel,</w:t>
      </w:r>
      <w:r>
        <w:rPr>
          <w:rFonts w:eastAsia="MS Mincho"/>
        </w:rPr>
        <w:t xml:space="preserve"> </w:t>
      </w:r>
      <w:r w:rsidR="00D42D8E">
        <w:rPr>
          <w:rFonts w:eastAsia="MS Mincho"/>
        </w:rPr>
        <w:t>hateful but</w:t>
      </w:r>
      <w:r>
        <w:rPr>
          <w:rFonts w:eastAsia="MS Mincho"/>
        </w:rPr>
        <w:t xml:space="preserve"> not constitut</w:t>
      </w:r>
      <w:r w:rsidR="00D42D8E">
        <w:rPr>
          <w:rFonts w:eastAsia="MS Mincho"/>
        </w:rPr>
        <w:t>ing</w:t>
      </w:r>
      <w:r>
        <w:rPr>
          <w:rFonts w:eastAsia="MS Mincho"/>
        </w:rPr>
        <w:t xml:space="preserve"> incitement</w:t>
      </w:r>
      <w:r w:rsidR="001A4E44" w:rsidRPr="001A4E44">
        <w:rPr>
          <w:rFonts w:eastAsia="MS Mincho"/>
        </w:rPr>
        <w:t>,</w:t>
      </w:r>
      <w:r>
        <w:rPr>
          <w:rFonts w:eastAsia="MS Mincho"/>
        </w:rPr>
        <w:t xml:space="preserve"> </w:t>
      </w:r>
      <w:r w:rsidR="001A4E44" w:rsidRPr="001A4E44">
        <w:rPr>
          <w:rFonts w:eastAsia="MS Mincho"/>
        </w:rPr>
        <w:t xml:space="preserve">Article 19(3) </w:t>
      </w:r>
      <w:r>
        <w:rPr>
          <w:rFonts w:eastAsia="MS Mincho"/>
        </w:rPr>
        <w:t>of the ICCPR</w:t>
      </w:r>
      <w:r w:rsidR="00937C22">
        <w:rPr>
          <w:rFonts w:eastAsia="MS Mincho"/>
        </w:rPr>
        <w:t xml:space="preserve"> provides </w:t>
      </w:r>
      <w:r w:rsidR="00D42D8E">
        <w:rPr>
          <w:rFonts w:eastAsia="MS Mincho"/>
        </w:rPr>
        <w:t>appropriate</w:t>
      </w:r>
      <w:r w:rsidR="00937C22">
        <w:rPr>
          <w:rFonts w:eastAsia="MS Mincho"/>
        </w:rPr>
        <w:t xml:space="preserve"> guidance</w:t>
      </w:r>
      <w:r>
        <w:rPr>
          <w:rFonts w:eastAsia="MS Mincho"/>
        </w:rPr>
        <w:t xml:space="preserve">. Its </w:t>
      </w:r>
      <w:r w:rsidR="008F0203">
        <w:rPr>
          <w:rFonts w:eastAsia="MS Mincho"/>
        </w:rPr>
        <w:t xml:space="preserve">conditions </w:t>
      </w:r>
      <w:r w:rsidR="001A4E44" w:rsidRPr="001A4E44">
        <w:rPr>
          <w:rFonts w:eastAsia="MS Mincho"/>
        </w:rPr>
        <w:t>must be applied strictly,</w:t>
      </w:r>
      <w:r>
        <w:rPr>
          <w:rFonts w:eastAsia="MS Mincho"/>
        </w:rPr>
        <w:t xml:space="preserve"> such that any restriction</w:t>
      </w:r>
      <w:r w:rsidR="00937C22">
        <w:rPr>
          <w:rFonts w:eastAsia="MS Mincho"/>
        </w:rPr>
        <w:t xml:space="preserve"> – and any action taken against speech –</w:t>
      </w:r>
      <w:r>
        <w:rPr>
          <w:rFonts w:eastAsia="MS Mincho"/>
        </w:rPr>
        <w:t xml:space="preserve"> meet</w:t>
      </w:r>
      <w:r w:rsidR="00937C22">
        <w:rPr>
          <w:rFonts w:eastAsia="MS Mincho"/>
        </w:rPr>
        <w:t xml:space="preserve">s </w:t>
      </w:r>
      <w:r>
        <w:rPr>
          <w:rFonts w:eastAsia="MS Mincho"/>
        </w:rPr>
        <w:t>the conditions of legality</w:t>
      </w:r>
      <w:r w:rsidR="00937C22">
        <w:rPr>
          <w:rFonts w:eastAsia="MS Mincho"/>
        </w:rPr>
        <w:t>,</w:t>
      </w:r>
      <w:r>
        <w:rPr>
          <w:rFonts w:eastAsia="MS Mincho"/>
        </w:rPr>
        <w:t xml:space="preserve"> necessity and proportionality</w:t>
      </w:r>
      <w:r w:rsidR="00937C22">
        <w:rPr>
          <w:rFonts w:eastAsia="MS Mincho"/>
        </w:rPr>
        <w:t>, and legitimacy</w:t>
      </w:r>
      <w:r>
        <w:rPr>
          <w:rFonts w:eastAsia="MS Mincho"/>
        </w:rPr>
        <w:t xml:space="preserve">. </w:t>
      </w:r>
      <w:r w:rsidR="00937C22">
        <w:rPr>
          <w:rFonts w:eastAsia="MS Mincho"/>
        </w:rPr>
        <w:t>Language like the UN Panel’s above</w:t>
      </w:r>
      <w:r w:rsidR="00027EAE">
        <w:rPr>
          <w:rFonts w:eastAsia="MS Mincho"/>
        </w:rPr>
        <w:t>, if meant to guide prohibitions under law,</w:t>
      </w:r>
      <w:r w:rsidR="00937C22">
        <w:rPr>
          <w:rFonts w:eastAsia="MS Mincho"/>
        </w:rPr>
        <w:t xml:space="preserve"> would be problematic on legality grounds, given its vagueness – though it may serve as a basis for political and social action to counter discrimination and hatred. Any State adopting such a definition would also need to situate a restriction among the legitimate grounds for limitation. It most instances, the rights of others</w:t>
      </w:r>
      <w:r w:rsidR="00027EAE">
        <w:rPr>
          <w:rFonts w:eastAsia="MS Mincho"/>
        </w:rPr>
        <w:t xml:space="preserve"> may provide the appropriate basis</w:t>
      </w:r>
      <w:r w:rsidR="00937C22">
        <w:rPr>
          <w:rFonts w:eastAsia="MS Mincho"/>
        </w:rPr>
        <w:t xml:space="preserve">, </w:t>
      </w:r>
      <w:r w:rsidR="00027EAE">
        <w:rPr>
          <w:rFonts w:eastAsia="MS Mincho"/>
        </w:rPr>
        <w:t>focused on rights</w:t>
      </w:r>
      <w:r w:rsidR="00C034AB">
        <w:rPr>
          <w:rFonts w:eastAsia="MS Mincho"/>
        </w:rPr>
        <w:t xml:space="preserve"> related to</w:t>
      </w:r>
      <w:r w:rsidR="00937C22">
        <w:rPr>
          <w:rFonts w:eastAsia="MS Mincho"/>
        </w:rPr>
        <w:t xml:space="preserve"> discrimination </w:t>
      </w:r>
      <w:r w:rsidR="00C034AB">
        <w:rPr>
          <w:rFonts w:eastAsia="MS Mincho"/>
        </w:rPr>
        <w:t>or</w:t>
      </w:r>
      <w:r w:rsidR="00937C22">
        <w:rPr>
          <w:rFonts w:eastAsia="MS Mincho"/>
        </w:rPr>
        <w:t xml:space="preserve"> interference with privacy, or protecting public order. But in each case, it would remain essential for the State to demonstrate the necessity and proportionality of taking action, and the harsher the penalty, the greater the need for demonstrating strict necessity.</w:t>
      </w:r>
      <w:r w:rsidR="00937C22" w:rsidRPr="001A4E44">
        <w:rPr>
          <w:rFonts w:eastAsia="MS Mincho"/>
          <w:sz w:val="18"/>
          <w:vertAlign w:val="superscript"/>
        </w:rPr>
        <w:footnoteReference w:id="36"/>
      </w:r>
    </w:p>
    <w:p w14:paraId="3377299C" w14:textId="0BBAB285" w:rsidR="001A4E44" w:rsidRPr="001A4E44" w:rsidRDefault="00732E36" w:rsidP="00B24EA8">
      <w:pPr>
        <w:pStyle w:val="SingleTxtG"/>
        <w:rPr>
          <w:rFonts w:eastAsia="MS Mincho"/>
        </w:rPr>
      </w:pPr>
      <w:r>
        <w:rPr>
          <w:rFonts w:eastAsia="MS Mincho"/>
        </w:rPr>
        <w:t>21</w:t>
      </w:r>
      <w:r w:rsidR="001A4E44" w:rsidRPr="001A4E44">
        <w:rPr>
          <w:rFonts w:eastAsia="MS Mincho"/>
        </w:rPr>
        <w:t>.</w:t>
      </w:r>
      <w:r w:rsidR="001A4E44" w:rsidRPr="001A4E44">
        <w:rPr>
          <w:rFonts w:eastAsia="MS Mincho"/>
        </w:rPr>
        <w:tab/>
      </w:r>
      <w:r w:rsidR="00E113B6">
        <w:rPr>
          <w:rFonts w:eastAsia="MS Mincho"/>
        </w:rPr>
        <w:t xml:space="preserve">Some restrictions are </w:t>
      </w:r>
      <w:r w:rsidR="00C034AB">
        <w:rPr>
          <w:rFonts w:eastAsia="MS Mincho"/>
        </w:rPr>
        <w:t>specifically</w:t>
      </w:r>
      <w:r w:rsidR="00E113B6">
        <w:rPr>
          <w:rFonts w:eastAsia="MS Mincho"/>
        </w:rPr>
        <w:t xml:space="preserve"> disfavoured under </w:t>
      </w:r>
      <w:r w:rsidR="00C034AB">
        <w:rPr>
          <w:rFonts w:eastAsia="MS Mincho"/>
        </w:rPr>
        <w:t>international</w:t>
      </w:r>
      <w:r w:rsidR="00E113B6">
        <w:rPr>
          <w:rFonts w:eastAsia="MS Mincho"/>
        </w:rPr>
        <w:t xml:space="preserve"> human rights standards. For instance, t</w:t>
      </w:r>
      <w:r w:rsidR="001A4E44" w:rsidRPr="001A4E44">
        <w:rPr>
          <w:rFonts w:eastAsia="MS Mincho"/>
        </w:rPr>
        <w:t>he Human Rights Committee noted that “[p]rohibitions of displays of lack of respect for a religion or other belief system, including blasphemy laws, are incompatible with the Covenant, except” in the context where blasphemy also may be defined as advocacy of religious hatred that constitutes incitement of one of the required sorts.</w:t>
      </w:r>
      <w:r w:rsidR="001A4E44" w:rsidRPr="001A4E44">
        <w:rPr>
          <w:rFonts w:eastAsia="MS Mincho"/>
          <w:sz w:val="18"/>
          <w:vertAlign w:val="superscript"/>
        </w:rPr>
        <w:footnoteReference w:id="37"/>
      </w:r>
      <w:r w:rsidR="001A4E44" w:rsidRPr="001A4E44">
        <w:rPr>
          <w:rFonts w:eastAsia="MS Mincho"/>
        </w:rPr>
        <w:t xml:space="preserve"> </w:t>
      </w:r>
      <w:r w:rsidR="001A4E44" w:rsidRPr="001A4E44">
        <w:rPr>
          <w:rFonts w:eastAsia="MS Mincho"/>
          <w:szCs w:val="18"/>
        </w:rPr>
        <w:t xml:space="preserve">To be clear, anti-blasphemy laws fail to meet the legitimacy condition of Article 19(3), given that Article 19 protects </w:t>
      </w:r>
      <w:r w:rsidR="001A4E44" w:rsidRPr="001A4E44">
        <w:rPr>
          <w:rFonts w:eastAsia="MS Mincho"/>
          <w:i/>
          <w:iCs/>
          <w:szCs w:val="18"/>
        </w:rPr>
        <w:t>individuals</w:t>
      </w:r>
      <w:r w:rsidR="001A4E44" w:rsidRPr="001A4E44">
        <w:rPr>
          <w:rFonts w:eastAsia="MS Mincho"/>
          <w:szCs w:val="18"/>
        </w:rPr>
        <w:t xml:space="preserve"> and their rights to freedom of expression</w:t>
      </w:r>
      <w:r w:rsidR="00E113B6">
        <w:rPr>
          <w:rFonts w:eastAsia="MS Mincho"/>
          <w:szCs w:val="18"/>
        </w:rPr>
        <w:t xml:space="preserve"> and opinion; neither it nor Article 18 of the ICCPR protect</w:t>
      </w:r>
      <w:r w:rsidR="001A4E44" w:rsidRPr="001A4E44">
        <w:rPr>
          <w:rFonts w:eastAsia="MS Mincho"/>
          <w:szCs w:val="18"/>
        </w:rPr>
        <w:t xml:space="preserve"> ideas or belief</w:t>
      </w:r>
      <w:r w:rsidR="00E113B6">
        <w:rPr>
          <w:rFonts w:eastAsia="MS Mincho"/>
          <w:szCs w:val="18"/>
        </w:rPr>
        <w:t>s from ridicule, abuse, criticism or other ‘attacks’ seen as offensive</w:t>
      </w:r>
      <w:r w:rsidR="001A4E44" w:rsidRPr="001A4E44">
        <w:rPr>
          <w:rFonts w:eastAsia="MS Mincho"/>
          <w:szCs w:val="18"/>
        </w:rPr>
        <w:t xml:space="preserve">. </w:t>
      </w:r>
      <w:r w:rsidR="001A4E44" w:rsidRPr="001A4E44">
        <w:rPr>
          <w:rFonts w:eastAsia="MS Mincho"/>
        </w:rPr>
        <w:t>Several human rights mechanisms have affirmed the call to repeal blasphemy laws because of the risk they pose to debate over religious ideas and the role that such laws play in enabling government to preference one religion’s ideas over other religions, beliefs, or non-belief systems.</w:t>
      </w:r>
      <w:r w:rsidR="001A4E44" w:rsidRPr="001A4E44">
        <w:rPr>
          <w:rFonts w:eastAsia="MS Mincho"/>
          <w:sz w:val="18"/>
          <w:vertAlign w:val="superscript"/>
        </w:rPr>
        <w:footnoteReference w:id="38"/>
      </w:r>
      <w:r w:rsidR="00B24EA8">
        <w:rPr>
          <w:rFonts w:eastAsia="MS Mincho"/>
        </w:rPr>
        <w:t xml:space="preserve">  </w:t>
      </w:r>
    </w:p>
    <w:p w14:paraId="7D841B29" w14:textId="52BDA802" w:rsidR="001A4E44" w:rsidRPr="001A4E44" w:rsidRDefault="00732E36" w:rsidP="00B24EA8">
      <w:pPr>
        <w:pStyle w:val="SingleTxtG"/>
        <w:rPr>
          <w:rFonts w:eastAsia="MS Mincho"/>
        </w:rPr>
      </w:pPr>
      <w:r>
        <w:rPr>
          <w:rFonts w:eastAsia="MS Mincho"/>
        </w:rPr>
        <w:t>22</w:t>
      </w:r>
      <w:r w:rsidR="001A4E44" w:rsidRPr="001A4E44">
        <w:rPr>
          <w:rFonts w:eastAsia="MS Mincho"/>
        </w:rPr>
        <w:t>.</w:t>
      </w:r>
      <w:r w:rsidR="001A4E44" w:rsidRPr="001A4E44">
        <w:rPr>
          <w:rFonts w:eastAsia="MS Mincho"/>
        </w:rPr>
        <w:tab/>
        <w:t xml:space="preserve">Second, laws that “penalize[] the expression of opinions about historical facts are incompatible” with Article 19, calling into question the criminalization of Holocaust and other </w:t>
      </w:r>
      <w:r w:rsidR="00A12F0E">
        <w:rPr>
          <w:rFonts w:eastAsia="MS Mincho"/>
        </w:rPr>
        <w:t>atrocity</w:t>
      </w:r>
      <w:r w:rsidR="00A12F0E" w:rsidRPr="001A4E44">
        <w:rPr>
          <w:rFonts w:eastAsia="MS Mincho"/>
        </w:rPr>
        <w:t xml:space="preserve"> </w:t>
      </w:r>
      <w:r w:rsidR="001A4E44" w:rsidRPr="001A4E44">
        <w:rPr>
          <w:rFonts w:eastAsia="MS Mincho"/>
        </w:rPr>
        <w:t>denial</w:t>
      </w:r>
      <w:r w:rsidR="00A12F0E">
        <w:rPr>
          <w:rFonts w:eastAsia="MS Mincho"/>
        </w:rPr>
        <w:t xml:space="preserve"> and similar laws</w:t>
      </w:r>
      <w:r w:rsidR="001A4E44" w:rsidRPr="001A4E44">
        <w:rPr>
          <w:rFonts w:eastAsia="MS Mincho"/>
        </w:rPr>
        <w:t xml:space="preserve">, which are often justified by reference to </w:t>
      </w:r>
      <w:r w:rsidR="00231224">
        <w:rPr>
          <w:rFonts w:eastAsia="MS Mincho"/>
        </w:rPr>
        <w:t>‘</w:t>
      </w:r>
      <w:r w:rsidR="001A4E44" w:rsidRPr="001A4E44">
        <w:rPr>
          <w:rFonts w:eastAsia="MS Mincho"/>
        </w:rPr>
        <w:t>hate speech</w:t>
      </w:r>
      <w:r w:rsidR="00231224">
        <w:rPr>
          <w:rFonts w:eastAsia="MS Mincho"/>
        </w:rPr>
        <w:t>’</w:t>
      </w:r>
      <w:r w:rsidR="001A4E44" w:rsidRPr="001A4E44">
        <w:rPr>
          <w:rFonts w:eastAsia="MS Mincho"/>
        </w:rPr>
        <w:t>.</w:t>
      </w:r>
      <w:r w:rsidR="002A7522">
        <w:rPr>
          <w:rFonts w:eastAsia="MS Mincho"/>
        </w:rPr>
        <w:t xml:space="preserve"> </w:t>
      </w:r>
      <w:r w:rsidR="001A4E44" w:rsidRPr="001A4E44">
        <w:rPr>
          <w:rFonts w:eastAsia="MS Mincho"/>
        </w:rPr>
        <w:t xml:space="preserve">Opinions that are “erroneous” and “incorrect interpretations of past events” may not be subject to general prohibition, the Human Rights Committee noted, and any restrictions on the expression of such opinion “should not go beyond what is permitted” in </w:t>
      </w:r>
      <w:r w:rsidR="001A4E44" w:rsidRPr="001A4E44">
        <w:rPr>
          <w:rFonts w:eastAsia="MS Mincho"/>
        </w:rPr>
        <w:lastRenderedPageBreak/>
        <w:t>Article 19(3) or “required under Article 20”.</w:t>
      </w:r>
      <w:r w:rsidR="001A4E44" w:rsidRPr="001A4E44">
        <w:rPr>
          <w:rFonts w:eastAsia="MS Mincho"/>
          <w:sz w:val="18"/>
          <w:vertAlign w:val="superscript"/>
        </w:rPr>
        <w:footnoteReference w:id="39"/>
      </w:r>
      <w:r w:rsidR="001A4E44" w:rsidRPr="001A4E44">
        <w:rPr>
          <w:rFonts w:eastAsia="MS Mincho"/>
        </w:rPr>
        <w:t xml:space="preserve"> </w:t>
      </w:r>
      <w:r w:rsidR="00231224">
        <w:rPr>
          <w:rFonts w:eastAsia="MS Mincho"/>
        </w:rPr>
        <w:t>I</w:t>
      </w:r>
      <w:r w:rsidR="001A4E44" w:rsidRPr="001A4E44">
        <w:rPr>
          <w:rFonts w:eastAsia="MS Mincho"/>
        </w:rPr>
        <w:t xml:space="preserve">n light of these and other interpretations, denial of the historical accuracy of </w:t>
      </w:r>
      <w:r w:rsidR="00396D8F">
        <w:rPr>
          <w:rFonts w:eastAsia="MS Mincho"/>
        </w:rPr>
        <w:t>atrocities</w:t>
      </w:r>
      <w:r w:rsidR="001A4E44" w:rsidRPr="001A4E44">
        <w:rPr>
          <w:rFonts w:eastAsia="MS Mincho"/>
        </w:rPr>
        <w:t xml:space="preserve"> should not be subject to criminal penalty or other restriction without further evaluation under the definitions and context noted above. The application of any such restriction under international human rights law should involve evaluation of the six factors note</w:t>
      </w:r>
      <w:r w:rsidR="00A06B51">
        <w:rPr>
          <w:rFonts w:eastAsia="MS Mincho"/>
        </w:rPr>
        <w:t xml:space="preserve">d in the Rabat Plan of Action. </w:t>
      </w:r>
    </w:p>
    <w:p w14:paraId="5012FDC3" w14:textId="2AD3EF83" w:rsidR="001A4E44" w:rsidRPr="001A4E44" w:rsidRDefault="00732E36" w:rsidP="00E76C46">
      <w:pPr>
        <w:pStyle w:val="SingleTxtG"/>
        <w:rPr>
          <w:rFonts w:eastAsia="MS Mincho"/>
        </w:rPr>
      </w:pPr>
      <w:r>
        <w:rPr>
          <w:rFonts w:eastAsia="MS Mincho"/>
        </w:rPr>
        <w:t>23</w:t>
      </w:r>
      <w:r w:rsidR="001A4E44" w:rsidRPr="001A4E44">
        <w:rPr>
          <w:rFonts w:eastAsia="MS Mincho"/>
        </w:rPr>
        <w:t>.</w:t>
      </w:r>
      <w:r w:rsidR="001A4E44" w:rsidRPr="001A4E44">
        <w:rPr>
          <w:rFonts w:eastAsia="MS Mincho"/>
        </w:rPr>
        <w:tab/>
      </w:r>
      <w:r w:rsidR="00396D8F">
        <w:rPr>
          <w:rFonts w:eastAsia="MS Mincho"/>
        </w:rPr>
        <w:t>A third kind of non-incitement speech may involve a</w:t>
      </w:r>
      <w:r w:rsidR="001A4E44" w:rsidRPr="001A4E44">
        <w:rPr>
          <w:rFonts w:eastAsia="MS Mincho"/>
        </w:rPr>
        <w:t xml:space="preserve"> situation where a speaker is “individually targeting an identifiable victim” but not seeking to “incite others to take an action against persons on the basis of a protected characteristic”.</w:t>
      </w:r>
      <w:r w:rsidR="001A4E44" w:rsidRPr="001A4E44">
        <w:rPr>
          <w:rFonts w:eastAsia="MS Mincho"/>
          <w:sz w:val="18"/>
          <w:vertAlign w:val="superscript"/>
        </w:rPr>
        <w:footnoteReference w:id="40"/>
      </w:r>
      <w:r w:rsidR="001A4E44" w:rsidRPr="001A4E44">
        <w:rPr>
          <w:rFonts w:eastAsia="MS Mincho"/>
        </w:rPr>
        <w:t xml:space="preserve"> </w:t>
      </w:r>
      <w:r w:rsidR="00396D8F">
        <w:rPr>
          <w:rFonts w:eastAsia="MS Mincho"/>
        </w:rPr>
        <w:t>Again, by reference to Article 19(3), such speech may be subject to restriction in order to protect the rights of others or public order. Often States restrict</w:t>
      </w:r>
      <w:r w:rsidR="00E76C46">
        <w:rPr>
          <w:rFonts w:eastAsia="MS Mincho"/>
        </w:rPr>
        <w:t xml:space="preserve"> such expression</w:t>
      </w:r>
      <w:r w:rsidR="00396D8F">
        <w:rPr>
          <w:rFonts w:eastAsia="MS Mincho"/>
        </w:rPr>
        <w:t xml:space="preserve"> under the general rubric of ‘hate crimes’ – whereby the</w:t>
      </w:r>
      <w:r w:rsidR="00231224">
        <w:rPr>
          <w:rFonts w:eastAsia="MS Mincho"/>
        </w:rPr>
        <w:t xml:space="preserve"> penalty for a</w:t>
      </w:r>
      <w:r w:rsidR="00396D8F">
        <w:rPr>
          <w:rFonts w:eastAsia="MS Mincho"/>
        </w:rPr>
        <w:t xml:space="preserve"> </w:t>
      </w:r>
      <w:r w:rsidR="00E76C46">
        <w:rPr>
          <w:rFonts w:eastAsia="MS Mincho"/>
        </w:rPr>
        <w:t xml:space="preserve">physical </w:t>
      </w:r>
      <w:r w:rsidR="00396D8F">
        <w:rPr>
          <w:rFonts w:eastAsia="MS Mincho"/>
        </w:rPr>
        <w:t>attack on a person or property is exacerbated by the hateful motivation behind it</w:t>
      </w:r>
      <w:r w:rsidR="001A4E44" w:rsidRPr="001A4E44">
        <w:rPr>
          <w:rFonts w:eastAsia="MS Mincho"/>
        </w:rPr>
        <w:t>.</w:t>
      </w:r>
      <w:r w:rsidR="00A06B51">
        <w:rPr>
          <w:rFonts w:eastAsia="MS Mincho"/>
        </w:rPr>
        <w:t xml:space="preserve"> </w:t>
      </w:r>
    </w:p>
    <w:p w14:paraId="039E0413" w14:textId="4B94E792" w:rsidR="001A4E44" w:rsidRPr="001A4E44" w:rsidRDefault="00732E36" w:rsidP="00B24EA8">
      <w:pPr>
        <w:pStyle w:val="SingleTxtG"/>
        <w:rPr>
          <w:rFonts w:eastAsia="MS Mincho"/>
        </w:rPr>
      </w:pPr>
      <w:r>
        <w:rPr>
          <w:rFonts w:eastAsia="MS Mincho"/>
        </w:rPr>
        <w:t>24</w:t>
      </w:r>
      <w:r w:rsidR="001A4E44" w:rsidRPr="001A4E44">
        <w:rPr>
          <w:rFonts w:eastAsia="MS Mincho"/>
        </w:rPr>
        <w:t>.</w:t>
      </w:r>
      <w:r w:rsidR="001A4E44" w:rsidRPr="001A4E44">
        <w:rPr>
          <w:rFonts w:eastAsia="MS Mincho"/>
        </w:rPr>
        <w:tab/>
        <w:t xml:space="preserve">Fourth, </w:t>
      </w:r>
      <w:r w:rsidR="00E76C46">
        <w:rPr>
          <w:rFonts w:eastAsia="MS Mincho"/>
        </w:rPr>
        <w:t xml:space="preserve">it is important to emphasize that </w:t>
      </w:r>
      <w:r w:rsidR="00B73781">
        <w:rPr>
          <w:rFonts w:eastAsia="MS Mincho"/>
        </w:rPr>
        <w:t xml:space="preserve">expression that may be offensive or characterized by prejudice, and raise serious concerns </w:t>
      </w:r>
      <w:r w:rsidR="00231224">
        <w:rPr>
          <w:rFonts w:eastAsia="MS Mincho"/>
        </w:rPr>
        <w:t>of</w:t>
      </w:r>
      <w:r w:rsidR="00B73781">
        <w:rPr>
          <w:rFonts w:eastAsia="MS Mincho"/>
        </w:rPr>
        <w:t xml:space="preserve"> </w:t>
      </w:r>
      <w:r w:rsidR="00231224">
        <w:rPr>
          <w:rFonts w:eastAsia="MS Mincho"/>
        </w:rPr>
        <w:t>in</w:t>
      </w:r>
      <w:r w:rsidR="00B73781">
        <w:rPr>
          <w:rFonts w:eastAsia="MS Mincho"/>
        </w:rPr>
        <w:t xml:space="preserve">tolerance, </w:t>
      </w:r>
      <w:r w:rsidR="00E76C46">
        <w:rPr>
          <w:rFonts w:eastAsia="MS Mincho"/>
        </w:rPr>
        <w:t>may often not</w:t>
      </w:r>
      <w:r w:rsidR="00B73781">
        <w:rPr>
          <w:rFonts w:eastAsia="MS Mincho"/>
        </w:rPr>
        <w:t xml:space="preserve"> meet</w:t>
      </w:r>
      <w:r w:rsidR="00E76C46">
        <w:rPr>
          <w:rFonts w:eastAsia="MS Mincho"/>
        </w:rPr>
        <w:t xml:space="preserve"> a</w:t>
      </w:r>
      <w:r w:rsidR="00B73781">
        <w:rPr>
          <w:rFonts w:eastAsia="MS Mincho"/>
        </w:rPr>
        <w:t xml:space="preserve"> threshold of severity</w:t>
      </w:r>
      <w:r w:rsidR="00E76C46">
        <w:rPr>
          <w:rFonts w:eastAsia="MS Mincho"/>
        </w:rPr>
        <w:t xml:space="preserve"> to merit any kind of restriction.</w:t>
      </w:r>
      <w:r w:rsidR="00B73781">
        <w:rPr>
          <w:rFonts w:eastAsia="MS Mincho"/>
        </w:rPr>
        <w:t xml:space="preserve"> </w:t>
      </w:r>
      <w:r w:rsidR="00E76C46">
        <w:rPr>
          <w:rFonts w:eastAsia="MS Mincho"/>
        </w:rPr>
        <w:t>T</w:t>
      </w:r>
      <w:r w:rsidR="001A4E44" w:rsidRPr="001A4E44">
        <w:rPr>
          <w:rFonts w:eastAsia="MS Mincho"/>
        </w:rPr>
        <w:t xml:space="preserve">here </w:t>
      </w:r>
      <w:r w:rsidR="00E76C46">
        <w:rPr>
          <w:rFonts w:eastAsia="MS Mincho"/>
        </w:rPr>
        <w:t>is</w:t>
      </w:r>
      <w:r w:rsidR="001A4E44" w:rsidRPr="001A4E44">
        <w:rPr>
          <w:rFonts w:eastAsia="MS Mincho"/>
        </w:rPr>
        <w:t xml:space="preserve"> a range of expression of hatred</w:t>
      </w:r>
      <w:r w:rsidR="00E76C46">
        <w:rPr>
          <w:rFonts w:eastAsia="MS Mincho"/>
        </w:rPr>
        <w:t>, ugly as it is,</w:t>
      </w:r>
      <w:r w:rsidR="001A4E44" w:rsidRPr="001A4E44">
        <w:rPr>
          <w:rFonts w:eastAsia="MS Mincho"/>
        </w:rPr>
        <w:t xml:space="preserve"> that does not involve incitement or direct threat, such as declarations of prejudice against protected groups. Such sentiments would not be subject to prohibition under the ICCPR or ICERD</w:t>
      </w:r>
      <w:r w:rsidR="00E76C46">
        <w:rPr>
          <w:rFonts w:eastAsia="MS Mincho"/>
        </w:rPr>
        <w:t>, and other restrictions or adverse actions would require</w:t>
      </w:r>
      <w:r w:rsidR="001A4E44" w:rsidRPr="001A4E44">
        <w:rPr>
          <w:rFonts w:eastAsia="MS Mincho"/>
        </w:rPr>
        <w:t xml:space="preserve"> analysis </w:t>
      </w:r>
      <w:r w:rsidR="00E76C46">
        <w:rPr>
          <w:rFonts w:eastAsia="MS Mincho"/>
        </w:rPr>
        <w:t>of Article 19(3)’s conditions</w:t>
      </w:r>
      <w:r w:rsidR="001A4E44" w:rsidRPr="001A4E44">
        <w:rPr>
          <w:rFonts w:eastAsia="MS Mincho"/>
        </w:rPr>
        <w:t>.</w:t>
      </w:r>
      <w:r w:rsidR="00E76C46">
        <w:rPr>
          <w:rFonts w:eastAsia="MS Mincho"/>
        </w:rPr>
        <w:t xml:space="preserve"> The </w:t>
      </w:r>
      <w:r w:rsidR="006C6E4D">
        <w:rPr>
          <w:rFonts w:eastAsia="MS Mincho"/>
        </w:rPr>
        <w:t xml:space="preserve">six </w:t>
      </w:r>
      <w:r w:rsidR="00E76C46">
        <w:rPr>
          <w:rFonts w:eastAsia="MS Mincho"/>
        </w:rPr>
        <w:t xml:space="preserve">factors identified by the Rabat Plan of Action for criminalizing </w:t>
      </w:r>
      <w:r w:rsidR="006C6E4D">
        <w:rPr>
          <w:rFonts w:eastAsia="MS Mincho"/>
        </w:rPr>
        <w:t xml:space="preserve">incitement will also provide a valuable rubric for considering how to evaluate </w:t>
      </w:r>
      <w:r w:rsidR="007C1BB8">
        <w:rPr>
          <w:rFonts w:eastAsia="MS Mincho"/>
        </w:rPr>
        <w:t xml:space="preserve">public authorities’ reactions to </w:t>
      </w:r>
      <w:r w:rsidR="006C6E4D">
        <w:rPr>
          <w:rFonts w:eastAsia="MS Mincho"/>
        </w:rPr>
        <w:t>such speech.</w:t>
      </w:r>
      <w:r w:rsidR="001A4E44" w:rsidRPr="001A4E44">
        <w:rPr>
          <w:rFonts w:eastAsia="MS Mincho"/>
        </w:rPr>
        <w:t xml:space="preserve"> </w:t>
      </w:r>
      <w:r w:rsidR="006C6E4D">
        <w:rPr>
          <w:rFonts w:eastAsia="MS Mincho"/>
        </w:rPr>
        <w:t>Indeed, t</w:t>
      </w:r>
      <w:r w:rsidR="001A4E44" w:rsidRPr="001A4E44">
        <w:rPr>
          <w:rFonts w:eastAsia="MS Mincho"/>
        </w:rPr>
        <w:t xml:space="preserve">he absence of </w:t>
      </w:r>
      <w:r w:rsidR="007C1BB8">
        <w:rPr>
          <w:rFonts w:eastAsia="MS Mincho"/>
        </w:rPr>
        <w:t>restriction</w:t>
      </w:r>
      <w:r w:rsidR="001A4E44" w:rsidRPr="001A4E44">
        <w:rPr>
          <w:rFonts w:eastAsia="MS Mincho"/>
        </w:rPr>
        <w:t xml:space="preserve"> does not mean the absence of action; States may (and should, consistent with Human Rights Council Resolution 16/18) take robust steps – </w:t>
      </w:r>
      <w:r w:rsidR="00A12F0E">
        <w:rPr>
          <w:rFonts w:eastAsia="MS Mincho"/>
        </w:rPr>
        <w:t xml:space="preserve">government condemnation of prejudice, </w:t>
      </w:r>
      <w:r w:rsidR="001A4E44" w:rsidRPr="001A4E44">
        <w:rPr>
          <w:rFonts w:eastAsia="MS Mincho"/>
        </w:rPr>
        <w:t>education, training, public service announcements, community projects, etc. – to counter such intolerance and ensure that public authorities protect individuals against discrimination rooted in thes</w:t>
      </w:r>
      <w:r w:rsidR="00A06B51">
        <w:rPr>
          <w:rFonts w:eastAsia="MS Mincho"/>
        </w:rPr>
        <w:t xml:space="preserve">e kinds of assertions of hate. </w:t>
      </w:r>
    </w:p>
    <w:p w14:paraId="0D8135C1" w14:textId="4CB1064C" w:rsidR="00434426" w:rsidRPr="001A4E44" w:rsidRDefault="00A06B51" w:rsidP="00906821">
      <w:pPr>
        <w:pStyle w:val="SingleTxtG"/>
        <w:rPr>
          <w:rFonts w:eastAsia="MS Mincho"/>
        </w:rPr>
      </w:pPr>
      <w:r>
        <w:rPr>
          <w:rFonts w:eastAsia="MS Mincho"/>
        </w:rPr>
        <w:tab/>
      </w:r>
      <w:r w:rsidR="00732E36">
        <w:rPr>
          <w:rFonts w:eastAsia="MS Mincho"/>
        </w:rPr>
        <w:t>25</w:t>
      </w:r>
      <w:r w:rsidR="00522EBD">
        <w:rPr>
          <w:rFonts w:eastAsia="MS Mincho"/>
        </w:rPr>
        <w:t>.</w:t>
      </w:r>
      <w:r w:rsidR="00522EBD">
        <w:rPr>
          <w:rFonts w:eastAsia="MS Mincho"/>
        </w:rPr>
        <w:tab/>
      </w:r>
      <w:r w:rsidR="006C6E4D">
        <w:rPr>
          <w:rFonts w:eastAsia="MS Mincho"/>
        </w:rPr>
        <w:t xml:space="preserve">Finally, the </w:t>
      </w:r>
      <w:r w:rsidR="00522EBD">
        <w:rPr>
          <w:rFonts w:eastAsia="MS Mincho"/>
        </w:rPr>
        <w:t>Genocide Convention</w:t>
      </w:r>
      <w:r w:rsidR="006C6E4D">
        <w:rPr>
          <w:rFonts w:eastAsia="MS Mincho"/>
        </w:rPr>
        <w:t xml:space="preserve"> requires States to criminalize incitement to genocide. In some situations, such as Myanmar, State inaction against incitement to genocide</w:t>
      </w:r>
      <w:r w:rsidR="007C1BB8">
        <w:rPr>
          <w:rFonts w:eastAsia="MS Mincho"/>
        </w:rPr>
        <w:t xml:space="preserve"> may</w:t>
      </w:r>
      <w:r w:rsidR="006C6E4D">
        <w:rPr>
          <w:rFonts w:eastAsia="MS Mincho"/>
        </w:rPr>
        <w:t xml:space="preserve"> contribute to very serious consequences</w:t>
      </w:r>
      <w:r w:rsidR="00A25024">
        <w:rPr>
          <w:rFonts w:eastAsia="MS Mincho"/>
        </w:rPr>
        <w:t xml:space="preserve"> for </w:t>
      </w:r>
      <w:r w:rsidR="007C1BB8">
        <w:rPr>
          <w:rFonts w:eastAsia="MS Mincho"/>
        </w:rPr>
        <w:t>vulnerable</w:t>
      </w:r>
      <w:r w:rsidR="00A25024">
        <w:rPr>
          <w:rFonts w:eastAsia="MS Mincho"/>
        </w:rPr>
        <w:t xml:space="preserve"> communit</w:t>
      </w:r>
      <w:r w:rsidR="007C1BB8">
        <w:rPr>
          <w:rFonts w:eastAsia="MS Mincho"/>
        </w:rPr>
        <w:t>ies</w:t>
      </w:r>
      <w:r w:rsidR="00A25024">
        <w:rPr>
          <w:rFonts w:eastAsia="MS Mincho"/>
        </w:rPr>
        <w:t>. Such inaction itself is condemnable, just as the incitement itself must be opposed and punished.</w:t>
      </w:r>
      <w:r w:rsidR="00096CE2">
        <w:rPr>
          <w:rStyle w:val="FootnoteReference"/>
          <w:rFonts w:eastAsia="MS Mincho"/>
        </w:rPr>
        <w:footnoteReference w:id="41"/>
      </w:r>
    </w:p>
    <w:p w14:paraId="600F0566" w14:textId="7BDEABE9" w:rsidR="001A4E44" w:rsidRPr="00A06B51" w:rsidRDefault="00522EBD" w:rsidP="00A06B51">
      <w:pPr>
        <w:pStyle w:val="H23G"/>
        <w:rPr>
          <w:rFonts w:eastAsia="MS Mincho"/>
        </w:rPr>
      </w:pPr>
      <w:r>
        <w:rPr>
          <w:rFonts w:eastAsia="MS Mincho"/>
        </w:rPr>
        <w:tab/>
      </w:r>
      <w:r>
        <w:rPr>
          <w:rFonts w:eastAsia="MS Mincho"/>
        </w:rPr>
        <w:tab/>
      </w:r>
      <w:r w:rsidR="001A4E44" w:rsidRPr="001A4E44">
        <w:rPr>
          <w:rFonts w:eastAsia="MS Mincho"/>
        </w:rPr>
        <w:t>Human rig</w:t>
      </w:r>
      <w:r w:rsidR="00A06B51">
        <w:rPr>
          <w:rFonts w:eastAsia="MS Mincho"/>
        </w:rPr>
        <w:t>hts norms at the regional level</w:t>
      </w:r>
    </w:p>
    <w:p w14:paraId="3B4EF23F" w14:textId="110FE99C" w:rsidR="001A4E44" w:rsidRPr="001A4E44" w:rsidRDefault="001A4E44" w:rsidP="00B24EA8">
      <w:pPr>
        <w:pStyle w:val="SingleTxtG"/>
        <w:rPr>
          <w:rFonts w:eastAsia="MS Mincho"/>
        </w:rPr>
      </w:pPr>
      <w:r w:rsidRPr="001A4E44">
        <w:rPr>
          <w:rFonts w:eastAsia="MS Mincho"/>
        </w:rPr>
        <w:t>26.</w:t>
      </w:r>
      <w:r w:rsidRPr="001A4E44">
        <w:rPr>
          <w:rFonts w:eastAsia="MS Mincho"/>
        </w:rPr>
        <w:tab/>
        <w:t xml:space="preserve">European, </w:t>
      </w:r>
      <w:r w:rsidR="00A12F0E">
        <w:rPr>
          <w:rFonts w:eastAsia="MS Mincho"/>
        </w:rPr>
        <w:t>I</w:t>
      </w:r>
      <w:r w:rsidR="00A12F0E" w:rsidRPr="001A4E44">
        <w:rPr>
          <w:rFonts w:eastAsia="MS Mincho"/>
        </w:rPr>
        <w:t>nter</w:t>
      </w:r>
      <w:r w:rsidRPr="001A4E44">
        <w:rPr>
          <w:rFonts w:eastAsia="MS Mincho"/>
        </w:rPr>
        <w:t>-American and African human rights systems</w:t>
      </w:r>
      <w:r w:rsidR="008D1DFE">
        <w:rPr>
          <w:rFonts w:eastAsia="MS Mincho"/>
        </w:rPr>
        <w:t xml:space="preserve"> also articulate standards related to ‘hate speech’</w:t>
      </w:r>
      <w:r w:rsidRPr="001A4E44">
        <w:rPr>
          <w:rFonts w:eastAsia="MS Mincho"/>
        </w:rPr>
        <w:t xml:space="preserve">. The </w:t>
      </w:r>
      <w:r w:rsidR="00233ACE">
        <w:rPr>
          <w:rFonts w:eastAsia="MS Mincho"/>
        </w:rPr>
        <w:t xml:space="preserve">European Court of Human Rights (ECtHR) </w:t>
      </w:r>
      <w:r w:rsidR="00850C70">
        <w:rPr>
          <w:rFonts w:eastAsia="MS Mincho"/>
        </w:rPr>
        <w:t>has</w:t>
      </w:r>
      <w:r w:rsidRPr="001A4E44">
        <w:rPr>
          <w:rFonts w:eastAsia="MS Mincho"/>
        </w:rPr>
        <w:t xml:space="preserve"> emphasized that freedom of expression protects the kinds of speech that </w:t>
      </w:r>
      <w:r w:rsidR="008D1DFE">
        <w:rPr>
          <w:rFonts w:eastAsia="MS Mincho"/>
        </w:rPr>
        <w:t xml:space="preserve">may </w:t>
      </w:r>
      <w:r w:rsidRPr="001A4E44">
        <w:rPr>
          <w:rFonts w:eastAsia="MS Mincho"/>
        </w:rPr>
        <w:t>“offend, shock or disturb”.</w:t>
      </w:r>
      <w:r w:rsidRPr="001A4E44">
        <w:rPr>
          <w:rFonts w:eastAsia="MS Mincho"/>
          <w:sz w:val="18"/>
          <w:vertAlign w:val="superscript"/>
        </w:rPr>
        <w:footnoteReference w:id="42"/>
      </w:r>
      <w:r w:rsidRPr="001A4E44">
        <w:rPr>
          <w:rFonts w:eastAsia="MS Mincho"/>
        </w:rPr>
        <w:t xml:space="preserve"> Yet the Court has adopted relatively deferential attitudes toward States that continue to ban blasphemy by law</w:t>
      </w:r>
      <w:r w:rsidR="00B73781">
        <w:rPr>
          <w:rFonts w:eastAsia="MS Mincho"/>
        </w:rPr>
        <w:t xml:space="preserve"> on the grounds of prohibiting ‘hate speech’</w:t>
      </w:r>
      <w:r w:rsidRPr="001A4E44">
        <w:rPr>
          <w:rFonts w:eastAsia="MS Mincho"/>
        </w:rPr>
        <w:t xml:space="preserve"> or criminalize genocide denial, in contrast to trends observed at the global level.</w:t>
      </w:r>
      <w:r w:rsidRPr="001A4E44">
        <w:rPr>
          <w:rFonts w:eastAsia="MS Mincho"/>
          <w:sz w:val="18"/>
          <w:vertAlign w:val="superscript"/>
        </w:rPr>
        <w:footnoteReference w:id="43"/>
      </w:r>
      <w:r w:rsidRPr="001A4E44">
        <w:rPr>
          <w:rFonts w:eastAsia="MS Mincho"/>
        </w:rPr>
        <w:t xml:space="preserve"> </w:t>
      </w:r>
      <w:r w:rsidR="008D1DFE">
        <w:rPr>
          <w:rFonts w:eastAsia="MS Mincho"/>
        </w:rPr>
        <w:t>Often the</w:t>
      </w:r>
      <w:r w:rsidR="00A12F0E">
        <w:rPr>
          <w:rFonts w:eastAsia="MS Mincho"/>
        </w:rPr>
        <w:t xml:space="preserve"> Court</w:t>
      </w:r>
      <w:r w:rsidR="00B73781">
        <w:rPr>
          <w:rFonts w:eastAsia="MS Mincho"/>
        </w:rPr>
        <w:t xml:space="preserve"> avoid</w:t>
      </w:r>
      <w:r w:rsidR="00A12F0E">
        <w:rPr>
          <w:rFonts w:eastAsia="MS Mincho"/>
        </w:rPr>
        <w:t>s</w:t>
      </w:r>
      <w:r w:rsidR="00B73781">
        <w:rPr>
          <w:rFonts w:eastAsia="MS Mincho"/>
        </w:rPr>
        <w:t xml:space="preserve"> the </w:t>
      </w:r>
      <w:r w:rsidR="008D1DFE">
        <w:rPr>
          <w:rFonts w:eastAsia="MS Mincho"/>
        </w:rPr>
        <w:t xml:space="preserve">‘hate speech’ </w:t>
      </w:r>
      <w:r w:rsidR="00B73781">
        <w:rPr>
          <w:rFonts w:eastAsia="MS Mincho"/>
        </w:rPr>
        <w:t>question altogether</w:t>
      </w:r>
      <w:r w:rsidR="008D1DFE">
        <w:rPr>
          <w:rFonts w:eastAsia="MS Mincho"/>
        </w:rPr>
        <w:t>, relying not on freedom of expression but ‘abuse of rights’ grounds to find claims of violation inadmissible</w:t>
      </w:r>
      <w:r w:rsidR="00B73781">
        <w:rPr>
          <w:rFonts w:eastAsia="MS Mincho"/>
        </w:rPr>
        <w:t>.</w:t>
      </w:r>
      <w:r w:rsidR="008D1DFE">
        <w:rPr>
          <w:rStyle w:val="FootnoteReference"/>
          <w:rFonts w:eastAsia="MS Mincho"/>
        </w:rPr>
        <w:footnoteReference w:id="44"/>
      </w:r>
      <w:r w:rsidR="00B73781">
        <w:rPr>
          <w:rFonts w:eastAsia="MS Mincho"/>
        </w:rPr>
        <w:t xml:space="preserve"> </w:t>
      </w:r>
      <w:r w:rsidR="008D1DFE">
        <w:rPr>
          <w:rFonts w:eastAsia="MS Mincho"/>
        </w:rPr>
        <w:t xml:space="preserve">European norms </w:t>
      </w:r>
      <w:r w:rsidR="007234BD">
        <w:rPr>
          <w:rFonts w:eastAsia="MS Mincho"/>
        </w:rPr>
        <w:t>may be</w:t>
      </w:r>
      <w:r w:rsidRPr="001A4E44">
        <w:rPr>
          <w:rFonts w:eastAsia="MS Mincho"/>
        </w:rPr>
        <w:t xml:space="preserve"> in flux when it comes to imposing liability on intermediaries for hate speech on their platforms.</w:t>
      </w:r>
      <w:r w:rsidRPr="001A4E44">
        <w:rPr>
          <w:rFonts w:eastAsia="MS Mincho"/>
          <w:sz w:val="18"/>
          <w:vertAlign w:val="superscript"/>
        </w:rPr>
        <w:footnoteReference w:id="45"/>
      </w:r>
      <w:r w:rsidRPr="001A4E44">
        <w:rPr>
          <w:rFonts w:eastAsia="MS Mincho"/>
        </w:rPr>
        <w:t xml:space="preserve"> By contrast, standards in the Inter-American Commission for Human Rights have tended to run closer to the international standards elucidated above, while standards in the African system are at a comparatively early stage.</w:t>
      </w:r>
      <w:r w:rsidRPr="001A4E44">
        <w:rPr>
          <w:rFonts w:eastAsia="MS Mincho"/>
          <w:sz w:val="18"/>
          <w:vertAlign w:val="superscript"/>
        </w:rPr>
        <w:footnoteReference w:id="46"/>
      </w:r>
      <w:r w:rsidR="00A12F0E">
        <w:rPr>
          <w:rFonts w:eastAsia="MS Mincho"/>
        </w:rPr>
        <w:t xml:space="preserve"> </w:t>
      </w:r>
      <w:r w:rsidR="008D1DFE">
        <w:rPr>
          <w:rFonts w:eastAsia="MS Mincho"/>
        </w:rPr>
        <w:t>R</w:t>
      </w:r>
      <w:r w:rsidR="00A12F0E">
        <w:rPr>
          <w:rFonts w:eastAsia="MS Mincho"/>
        </w:rPr>
        <w:t>egional human rights norms cannot</w:t>
      </w:r>
      <w:r w:rsidR="001F2693">
        <w:rPr>
          <w:rFonts w:eastAsia="MS Mincho"/>
        </w:rPr>
        <w:t>, in any event,</w:t>
      </w:r>
      <w:r w:rsidR="00A12F0E">
        <w:rPr>
          <w:rFonts w:eastAsia="MS Mincho"/>
        </w:rPr>
        <w:t xml:space="preserve"> be invoked to justify departure from international human rights protections.</w:t>
      </w:r>
    </w:p>
    <w:p w14:paraId="5EB02CB5" w14:textId="37DB539A" w:rsidR="001A4E44" w:rsidRPr="001A4E44" w:rsidRDefault="00A06B51" w:rsidP="00B24EA8">
      <w:pPr>
        <w:pStyle w:val="SingleTxtG"/>
        <w:rPr>
          <w:rFonts w:eastAsia="MS Mincho"/>
        </w:rPr>
      </w:pPr>
      <w:r>
        <w:rPr>
          <w:rFonts w:eastAsia="MS Mincho"/>
        </w:rPr>
        <w:t>27</w:t>
      </w:r>
      <w:r w:rsidR="001A4E44" w:rsidRPr="001A4E44">
        <w:rPr>
          <w:rFonts w:eastAsia="MS Mincho"/>
        </w:rPr>
        <w:t>.</w:t>
      </w:r>
      <w:r w:rsidR="001A4E44" w:rsidRPr="001A4E44">
        <w:rPr>
          <w:rFonts w:eastAsia="MS Mincho"/>
        </w:rPr>
        <w:tab/>
        <w:t>The Human Rights Committee has specifically rejected the</w:t>
      </w:r>
      <w:r w:rsidR="00724D8F">
        <w:rPr>
          <w:rFonts w:eastAsia="MS Mincho"/>
        </w:rPr>
        <w:t xml:space="preserve"> European Court’s margin of appreciation</w:t>
      </w:r>
      <w:r w:rsidR="001A4E44" w:rsidRPr="001A4E44">
        <w:rPr>
          <w:rFonts w:eastAsia="MS Mincho"/>
        </w:rPr>
        <w:t xml:space="preserve"> doctrine, noting that “a State party, in any given case, must demonstrate in specific fashion the precise nature of the threat to any of the enumerated grounds listed in paragraph 3 that has caused it to restrict freedom of expression.”</w:t>
      </w:r>
      <w:r w:rsidR="001A4E44" w:rsidRPr="001A4E44">
        <w:rPr>
          <w:rFonts w:eastAsia="MS Mincho"/>
          <w:sz w:val="18"/>
          <w:vertAlign w:val="superscript"/>
        </w:rPr>
        <w:footnoteReference w:id="47"/>
      </w:r>
      <w:r w:rsidR="001A4E44" w:rsidRPr="001A4E44">
        <w:rPr>
          <w:rFonts w:eastAsia="MS Mincho"/>
        </w:rPr>
        <w:t xml:space="preserve"> </w:t>
      </w:r>
      <w:r w:rsidR="00724D8F">
        <w:rPr>
          <w:rFonts w:eastAsia="MS Mincho"/>
        </w:rPr>
        <w:t>T</w:t>
      </w:r>
      <w:r w:rsidR="001A4E44" w:rsidRPr="001A4E44">
        <w:rPr>
          <w:rFonts w:eastAsia="MS Mincho"/>
        </w:rPr>
        <w:t>he Human Rights Committee does not grant discretion to the State simply because the domestic authorities assert that they generally are better placed to u</w:t>
      </w:r>
      <w:r>
        <w:rPr>
          <w:rFonts w:eastAsia="MS Mincho"/>
        </w:rPr>
        <w:t xml:space="preserve">nderstand their local context. </w:t>
      </w:r>
    </w:p>
    <w:p w14:paraId="27B00315" w14:textId="6DFEC2E5" w:rsidR="001A4E44" w:rsidRPr="00A06B51" w:rsidRDefault="00A06B51" w:rsidP="00A06B51">
      <w:pPr>
        <w:pStyle w:val="H23G"/>
        <w:rPr>
          <w:rFonts w:eastAsia="MS Mincho"/>
        </w:rPr>
      </w:pPr>
      <w:r>
        <w:rPr>
          <w:rFonts w:eastAsia="MS Mincho"/>
        </w:rPr>
        <w:tab/>
      </w:r>
      <w:r>
        <w:rPr>
          <w:rFonts w:eastAsia="MS Mincho"/>
        </w:rPr>
        <w:tab/>
        <w:t xml:space="preserve">Summary </w:t>
      </w:r>
      <w:r w:rsidR="00B91988">
        <w:rPr>
          <w:rFonts w:eastAsia="MS Mincho"/>
        </w:rPr>
        <w:t>of UN instruments on hate speech</w:t>
      </w:r>
    </w:p>
    <w:p w14:paraId="25380D8A" w14:textId="247BED8A" w:rsidR="001A4E44" w:rsidRPr="001A4E44" w:rsidRDefault="00A06B51" w:rsidP="00B51DD0">
      <w:pPr>
        <w:pStyle w:val="SingleTxtG"/>
        <w:rPr>
          <w:rFonts w:eastAsia="MS Mincho"/>
        </w:rPr>
      </w:pPr>
      <w:r>
        <w:rPr>
          <w:rFonts w:eastAsia="MS Mincho"/>
        </w:rPr>
        <w:t>28</w:t>
      </w:r>
      <w:r w:rsidR="001A4E44" w:rsidRPr="001A4E44">
        <w:rPr>
          <w:rFonts w:eastAsia="MS Mincho"/>
        </w:rPr>
        <w:t>.</w:t>
      </w:r>
      <w:r w:rsidR="001A4E44" w:rsidRPr="001A4E44">
        <w:rPr>
          <w:rFonts w:eastAsia="MS Mincho"/>
        </w:rPr>
        <w:tab/>
        <w:t xml:space="preserve">The international human rights framework has evolved in recent years to rationalize what appear, on the surface, to be competing norms. </w:t>
      </w:r>
      <w:r w:rsidR="003B692A">
        <w:rPr>
          <w:rFonts w:eastAsia="MS Mincho"/>
        </w:rPr>
        <w:t xml:space="preserve">In short, </w:t>
      </w:r>
      <w:r w:rsidR="002138E6">
        <w:rPr>
          <w:rFonts w:eastAsia="MS Mincho"/>
        </w:rPr>
        <w:t>t</w:t>
      </w:r>
      <w:r w:rsidR="001A4E44" w:rsidRPr="001A4E44">
        <w:rPr>
          <w:rFonts w:eastAsia="MS Mincho"/>
        </w:rPr>
        <w:t xml:space="preserve">he freedom of expression is a </w:t>
      </w:r>
      <w:r w:rsidR="00B91988">
        <w:rPr>
          <w:rFonts w:eastAsia="MS Mincho"/>
        </w:rPr>
        <w:t>legal right</w:t>
      </w:r>
      <w:r w:rsidR="00B91988" w:rsidRPr="001A4E44">
        <w:rPr>
          <w:rFonts w:eastAsia="MS Mincho"/>
        </w:rPr>
        <w:t xml:space="preserve"> </w:t>
      </w:r>
      <w:r w:rsidR="001A4E44" w:rsidRPr="001A4E44">
        <w:rPr>
          <w:rFonts w:eastAsia="MS Mincho"/>
        </w:rPr>
        <w:t xml:space="preserve">of paramount value for democratic societies, inter-dependent with and supportive of other rights throughout the corpus of human rights law. At the same time, anti-discrimination, equality, </w:t>
      </w:r>
      <w:r w:rsidR="00B91988">
        <w:rPr>
          <w:rFonts w:eastAsia="MS Mincho"/>
        </w:rPr>
        <w:t xml:space="preserve">and </w:t>
      </w:r>
      <w:r w:rsidR="001A4E44" w:rsidRPr="001A4E44">
        <w:rPr>
          <w:rFonts w:eastAsia="MS Mincho"/>
        </w:rPr>
        <w:t>equal and effective public participation</w:t>
      </w:r>
      <w:r w:rsidR="00B91988">
        <w:rPr>
          <w:rFonts w:eastAsia="MS Mincho"/>
        </w:rPr>
        <w:t xml:space="preserve"> </w:t>
      </w:r>
      <w:r w:rsidR="001A4E44" w:rsidRPr="001A4E44">
        <w:rPr>
          <w:rFonts w:eastAsia="MS Mincho"/>
        </w:rPr>
        <w:t>underpin the entire corpus of human rights law. The kind of expression captured by Article 20 of the ICCPR and Article 4 of the CERD presents challenges to both sets of norms, something that all participants in</w:t>
      </w:r>
      <w:r>
        <w:rPr>
          <w:rFonts w:eastAsia="MS Mincho"/>
        </w:rPr>
        <w:t xml:space="preserve"> public life must acknowledge. </w:t>
      </w:r>
      <w:r w:rsidR="003B692A">
        <w:rPr>
          <w:rFonts w:eastAsia="MS Mincho"/>
        </w:rPr>
        <w:t>Thus,</w:t>
      </w:r>
      <w:r w:rsidR="001A4E44" w:rsidRPr="001A4E44">
        <w:rPr>
          <w:rFonts w:eastAsia="MS Mincho"/>
        </w:rPr>
        <w:t xml:space="preserve"> restrictions on the right to freedom of expression must be exceptional</w:t>
      </w:r>
      <w:r w:rsidR="003B692A">
        <w:rPr>
          <w:rFonts w:eastAsia="MS Mincho"/>
        </w:rPr>
        <w:t>,</w:t>
      </w:r>
      <w:r w:rsidR="001A4E44" w:rsidRPr="001A4E44">
        <w:rPr>
          <w:rFonts w:eastAsia="MS Mincho"/>
        </w:rPr>
        <w:t xml:space="preserve"> and the State bears the burden of demonstrating their consistency with international law; prohibitions under ICCPR Article 20 and ICERD Article 4 must be subject to strict and narrow conditions of Article 19(3); and</w:t>
      </w:r>
      <w:r w:rsidR="00B51DD0">
        <w:rPr>
          <w:rFonts w:eastAsia="MS Mincho"/>
        </w:rPr>
        <w:t xml:space="preserve"> </w:t>
      </w:r>
      <w:r w:rsidR="001A4E44" w:rsidRPr="001A4E44">
        <w:rPr>
          <w:rFonts w:eastAsia="MS Mincho"/>
        </w:rPr>
        <w:t xml:space="preserve">States should generally deploy tools at their disposal other than criminalization and prohibition – such as education, counter-speech, promotion of pluralism, and so forth – to address </w:t>
      </w:r>
      <w:r w:rsidR="00B91988">
        <w:rPr>
          <w:rFonts w:eastAsia="MS Mincho"/>
        </w:rPr>
        <w:t>all kinds of ‘hate speech’</w:t>
      </w:r>
      <w:r>
        <w:rPr>
          <w:rFonts w:eastAsia="MS Mincho"/>
        </w:rPr>
        <w:t xml:space="preserve">. </w:t>
      </w:r>
    </w:p>
    <w:p w14:paraId="726C2C10" w14:textId="77777777" w:rsidR="001A4E44" w:rsidRPr="00A06B51" w:rsidRDefault="00A06B51" w:rsidP="00A06B51">
      <w:pPr>
        <w:pStyle w:val="HChG"/>
        <w:rPr>
          <w:rFonts w:eastAsia="MS Mincho"/>
        </w:rPr>
      </w:pPr>
      <w:r>
        <w:rPr>
          <w:rFonts w:eastAsia="MS Mincho"/>
        </w:rPr>
        <w:tab/>
        <w:t>III.</w:t>
      </w:r>
      <w:r>
        <w:rPr>
          <w:rFonts w:eastAsia="MS Mincho"/>
        </w:rPr>
        <w:tab/>
      </w:r>
      <w:r w:rsidR="001A4E44" w:rsidRPr="001A4E44">
        <w:rPr>
          <w:rFonts w:eastAsia="MS Mincho"/>
        </w:rPr>
        <w:t>Governing online hate speech</w:t>
      </w:r>
    </w:p>
    <w:p w14:paraId="40D4FDF5" w14:textId="77777777" w:rsidR="001A4E44" w:rsidRPr="00A06B51" w:rsidRDefault="00A06B51" w:rsidP="00A06B51">
      <w:pPr>
        <w:pStyle w:val="H1G"/>
        <w:rPr>
          <w:rFonts w:eastAsia="MS Mincho"/>
        </w:rPr>
      </w:pPr>
      <w:r>
        <w:rPr>
          <w:rFonts w:eastAsia="MS Mincho"/>
        </w:rPr>
        <w:tab/>
        <w:t>A.</w:t>
      </w:r>
      <w:r>
        <w:rPr>
          <w:rFonts w:eastAsia="MS Mincho"/>
        </w:rPr>
        <w:tab/>
      </w:r>
      <w:r w:rsidR="001A4E44" w:rsidRPr="00A06B51">
        <w:rPr>
          <w:rFonts w:eastAsia="MS Mincho"/>
        </w:rPr>
        <w:t>State obligations and the regulation of online hate speech</w:t>
      </w:r>
    </w:p>
    <w:p w14:paraId="461F7FC3" w14:textId="6BCB505C" w:rsidR="001A4E44" w:rsidRPr="00BF618C" w:rsidRDefault="00732E36" w:rsidP="00A06B51">
      <w:pPr>
        <w:pStyle w:val="SingleTxtG"/>
        <w:rPr>
          <w:rFonts w:eastAsia="MS Mincho"/>
          <w:sz w:val="18"/>
          <w:szCs w:val="18"/>
          <w:vertAlign w:val="superscript"/>
        </w:rPr>
      </w:pPr>
      <w:r>
        <w:rPr>
          <w:rFonts w:eastAsia="MS Mincho"/>
        </w:rPr>
        <w:t>29</w:t>
      </w:r>
      <w:r w:rsidR="001A4E44" w:rsidRPr="00A06B51">
        <w:rPr>
          <w:rFonts w:eastAsia="MS Mincho"/>
        </w:rPr>
        <w:t>.</w:t>
      </w:r>
      <w:r w:rsidR="001A4E44" w:rsidRPr="00A06B51">
        <w:rPr>
          <w:rFonts w:eastAsia="MS Mincho"/>
        </w:rPr>
        <w:tab/>
        <w:t xml:space="preserve">Strict adherence to </w:t>
      </w:r>
      <w:r w:rsidR="00471112">
        <w:rPr>
          <w:rFonts w:eastAsia="MS Mincho"/>
        </w:rPr>
        <w:t>international human rights law standards</w:t>
      </w:r>
      <w:r w:rsidR="001A4E44" w:rsidRPr="00A06B51">
        <w:rPr>
          <w:rFonts w:eastAsia="MS Mincho"/>
        </w:rPr>
        <w:t xml:space="preserve"> protects against </w:t>
      </w:r>
      <w:r w:rsidR="00AC2F7C">
        <w:rPr>
          <w:rFonts w:eastAsia="MS Mincho"/>
        </w:rPr>
        <w:t>governmental</w:t>
      </w:r>
      <w:r w:rsidR="001A4E44" w:rsidRPr="00A06B51">
        <w:rPr>
          <w:rFonts w:eastAsia="MS Mincho"/>
        </w:rPr>
        <w:t xml:space="preserve"> excesses. As a first principle, States should not use internet companies as tools to limit expression that they themselves would be precluded from </w:t>
      </w:r>
      <w:r w:rsidR="003E0134">
        <w:rPr>
          <w:rFonts w:eastAsia="MS Mincho"/>
        </w:rPr>
        <w:t>limiting</w:t>
      </w:r>
      <w:r w:rsidR="003E0134" w:rsidRPr="00A06B51">
        <w:rPr>
          <w:rFonts w:eastAsia="MS Mincho"/>
        </w:rPr>
        <w:t xml:space="preserve"> </w:t>
      </w:r>
      <w:r w:rsidR="001A4E44" w:rsidRPr="00A06B51">
        <w:rPr>
          <w:rFonts w:eastAsia="MS Mincho"/>
        </w:rPr>
        <w:t>under international human rights law. What they demand of companies</w:t>
      </w:r>
      <w:r w:rsidR="00471112">
        <w:rPr>
          <w:rFonts w:eastAsia="MS Mincho"/>
        </w:rPr>
        <w:t>, whether through regulation or threats of regulation,</w:t>
      </w:r>
      <w:r w:rsidR="001A4E44" w:rsidRPr="00A06B51">
        <w:rPr>
          <w:rFonts w:eastAsia="MS Mincho"/>
        </w:rPr>
        <w:t xml:space="preserve"> must be justified under and in compliance with international law. Certain kinds of action against content are clearly </w:t>
      </w:r>
      <w:r w:rsidR="00471112">
        <w:rPr>
          <w:rFonts w:eastAsia="MS Mincho"/>
        </w:rPr>
        <w:t>inconsistent with Article 19(3)</w:t>
      </w:r>
      <w:r w:rsidR="001A4E44" w:rsidRPr="00A06B51">
        <w:rPr>
          <w:rFonts w:eastAsia="MS Mincho"/>
        </w:rPr>
        <w:t xml:space="preserve"> – such as internet shutdowns and the criminalization of political dissent or government criticism online.</w:t>
      </w:r>
      <w:r w:rsidR="001A4E44" w:rsidRPr="00BF618C">
        <w:rPr>
          <w:rFonts w:eastAsia="MS Mincho"/>
          <w:sz w:val="18"/>
          <w:szCs w:val="18"/>
          <w:vertAlign w:val="superscript"/>
        </w:rPr>
        <w:footnoteReference w:id="48"/>
      </w:r>
      <w:r w:rsidR="001A4E44" w:rsidRPr="00BF618C">
        <w:rPr>
          <w:rFonts w:eastAsia="MS Mincho"/>
          <w:sz w:val="18"/>
          <w:szCs w:val="18"/>
          <w:vertAlign w:val="superscript"/>
        </w:rPr>
        <w:t xml:space="preserve"> </w:t>
      </w:r>
      <w:r w:rsidR="001A4E44" w:rsidRPr="000A65DC">
        <w:rPr>
          <w:rFonts w:eastAsia="MS Mincho"/>
        </w:rPr>
        <w:t>Penalties on individuals for engaging in unlawful hate speech should not be enhanced merely for being online</w:t>
      </w:r>
      <w:r w:rsidR="001A4E44" w:rsidRPr="00295260">
        <w:rPr>
          <w:rFonts w:eastAsia="MS Mincho"/>
        </w:rPr>
        <w:t>.</w:t>
      </w:r>
      <w:r w:rsidR="001A4E44" w:rsidRPr="00A06B51">
        <w:rPr>
          <w:rFonts w:eastAsia="MS Mincho"/>
        </w:rPr>
        <w:t xml:space="preserve"> </w:t>
      </w:r>
    </w:p>
    <w:p w14:paraId="41753AED" w14:textId="5C00CB6D" w:rsidR="001A4E44" w:rsidRPr="00BF618C" w:rsidRDefault="00732E36" w:rsidP="00A06B51">
      <w:pPr>
        <w:pStyle w:val="SingleTxtG"/>
        <w:rPr>
          <w:rFonts w:eastAsia="MS Mincho"/>
          <w:sz w:val="18"/>
          <w:szCs w:val="18"/>
          <w:vertAlign w:val="superscript"/>
        </w:rPr>
      </w:pPr>
      <w:r>
        <w:rPr>
          <w:rFonts w:eastAsia="MS Mincho"/>
        </w:rPr>
        <w:t>30</w:t>
      </w:r>
      <w:r w:rsidR="001A4E44" w:rsidRPr="00A06B51">
        <w:rPr>
          <w:rFonts w:eastAsia="MS Mincho"/>
        </w:rPr>
        <w:t>.</w:t>
      </w:r>
      <w:r w:rsidR="001A4E44" w:rsidRPr="00A06B51">
        <w:rPr>
          <w:rFonts w:eastAsia="MS Mincho"/>
        </w:rPr>
        <w:tab/>
        <w:t xml:space="preserve">It is useful to contemplate a hypothetical State that is considering legislation that would hold online intermediaries liable for failure to take specified action against </w:t>
      </w:r>
      <w:r w:rsidR="00295260">
        <w:rPr>
          <w:rFonts w:eastAsia="MS Mincho"/>
        </w:rPr>
        <w:t>‘</w:t>
      </w:r>
      <w:r w:rsidR="001A4E44" w:rsidRPr="00A06B51">
        <w:rPr>
          <w:rFonts w:eastAsia="MS Mincho"/>
        </w:rPr>
        <w:t>hate speech</w:t>
      </w:r>
      <w:r w:rsidR="00295260">
        <w:rPr>
          <w:rFonts w:eastAsia="MS Mincho"/>
        </w:rPr>
        <w:t>’</w:t>
      </w:r>
      <w:r w:rsidR="001A4E44" w:rsidRPr="00A06B51">
        <w:rPr>
          <w:rFonts w:eastAsia="MS Mincho"/>
        </w:rPr>
        <w:t xml:space="preserve">. Such an ‘intermediary liability’ law is </w:t>
      </w:r>
      <w:r w:rsidR="00295260">
        <w:rPr>
          <w:rFonts w:eastAsia="MS Mincho"/>
        </w:rPr>
        <w:t>typically</w:t>
      </w:r>
      <w:r w:rsidR="00295260" w:rsidRPr="00A06B51">
        <w:rPr>
          <w:rFonts w:eastAsia="MS Mincho"/>
        </w:rPr>
        <w:t xml:space="preserve"> </w:t>
      </w:r>
      <w:r w:rsidR="001A4E44" w:rsidRPr="00A06B51">
        <w:rPr>
          <w:rFonts w:eastAsia="MS Mincho"/>
        </w:rPr>
        <w:t>aimed at restricting expression, whether of the users of a particular platform or of the platform itself, possibly aimed at fulfilling the obligation under Article 20(2). Any legal evaluation of such a proposal must address the cumulative conditions of Article 19(3) to be consistent with international free expression standards</w:t>
      </w:r>
      <w:r w:rsidR="001A4E44" w:rsidRPr="00BF618C">
        <w:rPr>
          <w:rFonts w:eastAsia="MS Mincho"/>
          <w:sz w:val="18"/>
          <w:szCs w:val="18"/>
          <w:vertAlign w:val="superscript"/>
        </w:rPr>
        <w:t>.</w:t>
      </w:r>
      <w:r w:rsidR="001A4E44" w:rsidRPr="00BF618C">
        <w:rPr>
          <w:rFonts w:eastAsia="MS Mincho"/>
          <w:sz w:val="18"/>
          <w:szCs w:val="18"/>
          <w:vertAlign w:val="superscript"/>
        </w:rPr>
        <w:footnoteReference w:id="49"/>
      </w:r>
    </w:p>
    <w:p w14:paraId="49625CD4" w14:textId="77777777" w:rsidR="001A4E44" w:rsidRPr="00A06B51" w:rsidRDefault="00A06B51" w:rsidP="00A06B51">
      <w:pPr>
        <w:pStyle w:val="H23G"/>
        <w:rPr>
          <w:rFonts w:eastAsia="MS Mincho"/>
        </w:rPr>
      </w:pPr>
      <w:r>
        <w:rPr>
          <w:rFonts w:eastAsia="MS Mincho"/>
        </w:rPr>
        <w:tab/>
      </w:r>
      <w:r>
        <w:rPr>
          <w:rFonts w:eastAsia="MS Mincho"/>
        </w:rPr>
        <w:tab/>
        <w:t>Legality</w:t>
      </w:r>
    </w:p>
    <w:p w14:paraId="5D901CD6" w14:textId="7C171AEC" w:rsidR="001A4E44" w:rsidRPr="00BF618C" w:rsidRDefault="00732E36" w:rsidP="00A06B51">
      <w:pPr>
        <w:pStyle w:val="SingleTxtG"/>
        <w:rPr>
          <w:rFonts w:eastAsia="MS Mincho"/>
          <w:sz w:val="18"/>
          <w:szCs w:val="18"/>
          <w:vertAlign w:val="superscript"/>
        </w:rPr>
      </w:pPr>
      <w:r>
        <w:rPr>
          <w:rFonts w:eastAsia="MS Mincho"/>
        </w:rPr>
        <w:t>31</w:t>
      </w:r>
      <w:r w:rsidR="001A4E44" w:rsidRPr="00A06B51">
        <w:rPr>
          <w:rFonts w:eastAsia="MS Mincho"/>
        </w:rPr>
        <w:t>.</w:t>
      </w:r>
      <w:r w:rsidR="001A4E44" w:rsidRPr="00A06B51">
        <w:rPr>
          <w:rFonts w:eastAsia="MS Mincho"/>
        </w:rPr>
        <w:tab/>
        <w:t xml:space="preserve">Article 19(3) requires that the imposition of liability for the hosting of </w:t>
      </w:r>
      <w:r w:rsidR="004A3BA5">
        <w:rPr>
          <w:rFonts w:eastAsia="MS Mincho"/>
        </w:rPr>
        <w:t>‘</w:t>
      </w:r>
      <w:r w:rsidR="001A4E44" w:rsidRPr="00A06B51">
        <w:rPr>
          <w:rFonts w:eastAsia="MS Mincho"/>
        </w:rPr>
        <w:t>hate speech</w:t>
      </w:r>
      <w:r w:rsidR="004A3BA5">
        <w:rPr>
          <w:rFonts w:eastAsia="MS Mincho"/>
        </w:rPr>
        <w:t>’</w:t>
      </w:r>
      <w:r w:rsidR="001A4E44" w:rsidRPr="00A06B51">
        <w:rPr>
          <w:rFonts w:eastAsia="MS Mincho"/>
        </w:rPr>
        <w:t xml:space="preserve"> define the phrase and the factors involved in identifying its instances. A proposal imposing liability for a failure to remove ‘incitement’ must define the content consistent with Article 20(2) of the ICCPR and the ICERD Article 4, including by defining the key terms noted above in the Rabat Plan of Action. If a State wishes to regulate hate speech on grounds other than Articles 20 and 4, it must define the content that is in fact unlawful</w:t>
      </w:r>
      <w:r w:rsidR="00694D58">
        <w:rPr>
          <w:rStyle w:val="FootnoteReference"/>
          <w:rFonts w:eastAsia="MS Mincho"/>
        </w:rPr>
        <w:footnoteReference w:id="50"/>
      </w:r>
      <w:r w:rsidR="001A4E44" w:rsidRPr="00A06B51">
        <w:rPr>
          <w:rFonts w:eastAsia="MS Mincho"/>
        </w:rPr>
        <w:t>; precision and clarity mean that State laws should constrain excessive discretion in government actors to enforce the rules or private actors to use them to suppress lawful expression</w:t>
      </w:r>
      <w:r w:rsidR="00C957B8">
        <w:rPr>
          <w:rFonts w:eastAsia="MS Mincho"/>
        </w:rPr>
        <w:t xml:space="preserve"> and must give individuals appropriate notice to regulate their affairs.</w:t>
      </w:r>
      <w:r w:rsidR="00694D58" w:rsidRPr="00BF618C">
        <w:rPr>
          <w:rFonts w:eastAsia="MS Mincho"/>
          <w:sz w:val="18"/>
          <w:szCs w:val="18"/>
          <w:vertAlign w:val="superscript"/>
        </w:rPr>
        <w:footnoteReference w:id="51"/>
      </w:r>
      <w:r w:rsidR="00694D58">
        <w:rPr>
          <w:rFonts w:eastAsia="MS Mincho"/>
        </w:rPr>
        <w:t xml:space="preserve"> </w:t>
      </w:r>
      <w:r w:rsidR="00694D58" w:rsidRPr="00A06B51">
        <w:rPr>
          <w:rFonts w:eastAsia="MS Mincho"/>
        </w:rPr>
        <w:t xml:space="preserve">Without clarity and precision in the definitions, there is significant risk of abuse, restriction of legitimate content, and failure to address the problems at issue. States </w:t>
      </w:r>
      <w:r w:rsidR="00694D58">
        <w:rPr>
          <w:rFonts w:eastAsia="MS Mincho"/>
        </w:rPr>
        <w:t xml:space="preserve">addressing ‘hate speech’ </w:t>
      </w:r>
      <w:r w:rsidR="00694D58" w:rsidRPr="00A06B51">
        <w:rPr>
          <w:rFonts w:eastAsia="MS Mincho"/>
        </w:rPr>
        <w:t>should tie their definitions closely to the standards of international human rig</w:t>
      </w:r>
      <w:r w:rsidR="00694D58">
        <w:rPr>
          <w:rFonts w:eastAsia="MS Mincho"/>
        </w:rPr>
        <w:t>hts law, such as Article 20(2).</w:t>
      </w:r>
      <w:r w:rsidR="00A06B51" w:rsidRPr="00BF618C">
        <w:rPr>
          <w:rFonts w:eastAsia="MS Mincho"/>
          <w:sz w:val="18"/>
          <w:szCs w:val="18"/>
          <w:vertAlign w:val="superscript"/>
        </w:rPr>
        <w:t xml:space="preserve"> </w:t>
      </w:r>
      <w:r w:rsidR="00694D58">
        <w:rPr>
          <w:rFonts w:eastAsia="MS Mincho"/>
          <w:sz w:val="18"/>
          <w:szCs w:val="18"/>
          <w:vertAlign w:val="superscript"/>
        </w:rPr>
        <w:t xml:space="preserve"> </w:t>
      </w:r>
    </w:p>
    <w:p w14:paraId="66590795" w14:textId="6290F5F9" w:rsidR="001A4E44" w:rsidRPr="00A06B51" w:rsidRDefault="00732E36" w:rsidP="00A06B51">
      <w:pPr>
        <w:pStyle w:val="SingleTxtG"/>
        <w:rPr>
          <w:rFonts w:eastAsia="MS Mincho"/>
        </w:rPr>
      </w:pPr>
      <w:r>
        <w:rPr>
          <w:rFonts w:eastAsia="MS Mincho"/>
        </w:rPr>
        <w:t>32</w:t>
      </w:r>
      <w:r w:rsidR="001A4E44" w:rsidRPr="00A06B51">
        <w:rPr>
          <w:rFonts w:eastAsia="MS Mincho"/>
        </w:rPr>
        <w:t>.</w:t>
      </w:r>
      <w:r w:rsidR="001A4E44" w:rsidRPr="00A06B51">
        <w:rPr>
          <w:rFonts w:eastAsia="MS Mincho"/>
        </w:rPr>
        <w:tab/>
        <w:t>Several States have adopted or are considering adopting rules that require internet companies to remove “manifestly unlawful” speech within a particular period, typically twenty-four hours or even as brief as one hour, or otherwise unlawful content in a lengthier period. The most well-known of these laws, Germany’s Network Enforcement Act (widely known as NetzDG), imposes requirements on companies to remove from their platforms speech that is unlawful under a number of specifically identified provisions of the German Criminal Cod</w:t>
      </w:r>
      <w:r w:rsidR="00AC2F7C">
        <w:rPr>
          <w:rFonts w:eastAsia="MS Mincho"/>
        </w:rPr>
        <w:t>e.</w:t>
      </w:r>
      <w:r w:rsidR="001A4E44" w:rsidRPr="00BF618C">
        <w:rPr>
          <w:rFonts w:eastAsia="MS Mincho"/>
          <w:sz w:val="18"/>
          <w:szCs w:val="18"/>
          <w:vertAlign w:val="superscript"/>
        </w:rPr>
        <w:footnoteReference w:id="52"/>
      </w:r>
      <w:r w:rsidR="001A4E44" w:rsidRPr="00BF618C">
        <w:rPr>
          <w:rFonts w:eastAsia="MS Mincho"/>
          <w:sz w:val="18"/>
          <w:szCs w:val="18"/>
          <w:vertAlign w:val="superscript"/>
        </w:rPr>
        <w:t xml:space="preserve"> </w:t>
      </w:r>
      <w:r w:rsidR="001A4E44" w:rsidRPr="00A06B51">
        <w:rPr>
          <w:rFonts w:eastAsia="MS Mincho"/>
        </w:rPr>
        <w:t>For instance, Section 130 of the Criminal Code provides, inter alia, for the sanction of a person who “in a manner capable of disturbing the public peace . . . incites hatred against a national, racial, religious group or a group defined by their ethnic origins, against segments of the population or individuals because of their belonging to one of the aforementioned groups or segments of the population or calls for violent or arbitrary measures against them.”</w:t>
      </w:r>
      <w:r w:rsidR="001A4E44" w:rsidRPr="00BF618C">
        <w:rPr>
          <w:rFonts w:eastAsia="MS Mincho"/>
          <w:sz w:val="18"/>
          <w:szCs w:val="18"/>
          <w:vertAlign w:val="superscript"/>
        </w:rPr>
        <w:footnoteReference w:id="53"/>
      </w:r>
      <w:r w:rsidR="001A4E44" w:rsidRPr="00A06B51">
        <w:rPr>
          <w:rFonts w:eastAsia="MS Mincho"/>
        </w:rPr>
        <w:t xml:space="preserve"> The law evidently does not define its key terms (especially “incite” and “hatred”)</w:t>
      </w:r>
      <w:r w:rsidR="001A4E44" w:rsidRPr="00BF618C">
        <w:rPr>
          <w:rFonts w:eastAsia="MS Mincho"/>
          <w:sz w:val="18"/>
          <w:szCs w:val="18"/>
          <w:vertAlign w:val="superscript"/>
        </w:rPr>
        <w:footnoteReference w:id="54"/>
      </w:r>
      <w:r w:rsidR="001A4E44" w:rsidRPr="00BF618C">
        <w:rPr>
          <w:rFonts w:eastAsia="MS Mincho"/>
          <w:sz w:val="18"/>
          <w:szCs w:val="18"/>
          <w:vertAlign w:val="superscript"/>
        </w:rPr>
        <w:t xml:space="preserve"> </w:t>
      </w:r>
      <w:r w:rsidR="001A4E44" w:rsidRPr="00A06B51">
        <w:rPr>
          <w:rFonts w:eastAsia="MS Mincho"/>
        </w:rPr>
        <w:t>and yet, through NetzDG, it imposes significant fines on companies that fail to adhere to them. The underlying law is problematically vague. While NetzDG should be understood as a good faith effort to deal with widespread concern over online hate and its offline consequences, the failure to define these key terms undermines the claim that its requirement</w:t>
      </w:r>
      <w:r w:rsidR="00AC2F7C">
        <w:rPr>
          <w:rFonts w:eastAsia="MS Mincho"/>
        </w:rPr>
        <w:t>s</w:t>
      </w:r>
      <w:r w:rsidR="001A4E44" w:rsidRPr="00A06B51">
        <w:rPr>
          <w:rFonts w:eastAsia="MS Mincho"/>
        </w:rPr>
        <w:t xml:space="preserve"> </w:t>
      </w:r>
      <w:r w:rsidR="00AC2F7C">
        <w:rPr>
          <w:rFonts w:eastAsia="MS Mincho"/>
        </w:rPr>
        <w:t>are</w:t>
      </w:r>
      <w:r w:rsidR="001A4E44" w:rsidRPr="00A06B51">
        <w:rPr>
          <w:rFonts w:eastAsia="MS Mincho"/>
        </w:rPr>
        <w:t xml:space="preserve"> consistent with </w:t>
      </w:r>
      <w:r w:rsidR="00A06B51">
        <w:rPr>
          <w:rFonts w:eastAsia="MS Mincho"/>
        </w:rPr>
        <w:t>international human rights law.</w:t>
      </w:r>
    </w:p>
    <w:p w14:paraId="0084BA9F" w14:textId="7C5BDC8D" w:rsidR="001A4E44" w:rsidRPr="00A06B51" w:rsidRDefault="00732E36" w:rsidP="00A06B51">
      <w:pPr>
        <w:pStyle w:val="SingleTxtG"/>
        <w:rPr>
          <w:rFonts w:eastAsia="MS Mincho"/>
        </w:rPr>
      </w:pPr>
      <w:r>
        <w:rPr>
          <w:rFonts w:eastAsia="MS Mincho"/>
        </w:rPr>
        <w:t>33</w:t>
      </w:r>
      <w:r w:rsidR="001A4E44" w:rsidRPr="00A06B51">
        <w:rPr>
          <w:rFonts w:eastAsia="MS Mincho"/>
        </w:rPr>
        <w:t>.</w:t>
      </w:r>
      <w:r w:rsidR="001A4E44" w:rsidRPr="00A06B51">
        <w:rPr>
          <w:rFonts w:eastAsia="MS Mincho"/>
        </w:rPr>
        <w:tab/>
        <w:t>Few States have involved their courts in the process of evaluating platform hate speech that is inconsistent with local law, but they should allow for the imposition of liability only according to orders by independent courts and with the possibility of appeal at the request of the intermediary or other party affected by the action (such as the subject user).</w:t>
      </w:r>
      <w:r w:rsidR="001A4E44" w:rsidRPr="00BF618C">
        <w:rPr>
          <w:rFonts w:eastAsia="MS Mincho"/>
          <w:sz w:val="18"/>
          <w:szCs w:val="18"/>
          <w:vertAlign w:val="superscript"/>
        </w:rPr>
        <w:footnoteReference w:id="55"/>
      </w:r>
      <w:r w:rsidR="001A4E44" w:rsidRPr="00BF618C">
        <w:rPr>
          <w:rFonts w:eastAsia="MS Mincho"/>
          <w:sz w:val="18"/>
          <w:szCs w:val="18"/>
          <w:vertAlign w:val="superscript"/>
        </w:rPr>
        <w:t xml:space="preserve"> </w:t>
      </w:r>
      <w:r w:rsidR="001A4E44" w:rsidRPr="00A06B51">
        <w:rPr>
          <w:rFonts w:eastAsia="MS Mincho"/>
        </w:rPr>
        <w:t>Governments have been increasing the pressure on companies to serve as the adjudicators of hate speech. The process of adoption should also be subject to rigorous rule of law standards, with adequate opportunity for public input and hearings and evaluation of alternatives and impact on human rights.</w:t>
      </w:r>
      <w:r w:rsidR="001A4E44" w:rsidRPr="00BF618C">
        <w:rPr>
          <w:rFonts w:eastAsia="MS Mincho"/>
          <w:sz w:val="18"/>
          <w:szCs w:val="18"/>
          <w:vertAlign w:val="superscript"/>
        </w:rPr>
        <w:footnoteReference w:id="56"/>
      </w:r>
    </w:p>
    <w:p w14:paraId="7EF810EB" w14:textId="77777777" w:rsidR="001A4E44" w:rsidRPr="00A06B51" w:rsidRDefault="00A06B51" w:rsidP="00A06B51">
      <w:pPr>
        <w:pStyle w:val="H23G"/>
        <w:rPr>
          <w:rFonts w:eastAsia="MS Mincho"/>
        </w:rPr>
      </w:pPr>
      <w:r>
        <w:rPr>
          <w:rFonts w:eastAsia="MS Mincho"/>
        </w:rPr>
        <w:tab/>
      </w:r>
      <w:r>
        <w:rPr>
          <w:rFonts w:eastAsia="MS Mincho"/>
        </w:rPr>
        <w:tab/>
        <w:t>Necessity and proportionality</w:t>
      </w:r>
    </w:p>
    <w:p w14:paraId="0DADF931" w14:textId="21FAC0AF" w:rsidR="001A4E44" w:rsidRPr="00A06B51" w:rsidRDefault="00732E36" w:rsidP="00A06B51">
      <w:pPr>
        <w:pStyle w:val="SingleTxtG"/>
        <w:rPr>
          <w:rFonts w:eastAsia="MS Mincho"/>
        </w:rPr>
      </w:pPr>
      <w:r>
        <w:rPr>
          <w:rFonts w:eastAsia="MS Mincho"/>
        </w:rPr>
        <w:t>34</w:t>
      </w:r>
      <w:r w:rsidR="001A4E44" w:rsidRPr="00A06B51">
        <w:rPr>
          <w:rFonts w:eastAsia="MS Mincho"/>
        </w:rPr>
        <w:t>.</w:t>
      </w:r>
      <w:r w:rsidR="001A4E44" w:rsidRPr="00A06B51">
        <w:rPr>
          <w:rFonts w:eastAsia="MS Mincho"/>
        </w:rPr>
        <w:tab/>
        <w:t>Legislative efforts to incentivize the removal of online hate, and impose liability on internet companies for a failure to do so, must meet the necessity and proportionality standards identified above. In recent years, States have pushed companies toward nearly immediate takedown of content, demanding that they develop filters that would disable the upload of content deemed harmful. The pressure is for automated tools that would serve as a form of pre-publication censorship. Problematically, an upload filter requirement “would enable the blocking of content without any form of due process even before it is published, reversing the well-established presumption that States, not individuals, bear the burden of justifying restrictions on freedom of expression”.</w:t>
      </w:r>
      <w:r w:rsidR="001A4E44" w:rsidRPr="00BF618C">
        <w:rPr>
          <w:rFonts w:eastAsia="MS Mincho"/>
          <w:sz w:val="18"/>
          <w:szCs w:val="18"/>
          <w:vertAlign w:val="superscript"/>
        </w:rPr>
        <w:footnoteReference w:id="57"/>
      </w:r>
      <w:r w:rsidR="001A4E44" w:rsidRPr="00A06B51">
        <w:rPr>
          <w:rFonts w:eastAsia="MS Mincho"/>
        </w:rPr>
        <w:t xml:space="preserve"> Because such filters are notoriously unable to address the kind of natural language that typically constitutes hateful content, they can cause significant disproportionate outcomes</w:t>
      </w:r>
      <w:r w:rsidR="001A4E44" w:rsidRPr="00BF618C">
        <w:rPr>
          <w:rFonts w:eastAsia="MS Mincho"/>
          <w:sz w:val="18"/>
          <w:szCs w:val="18"/>
          <w:vertAlign w:val="superscript"/>
        </w:rPr>
        <w:t>.</w:t>
      </w:r>
      <w:r w:rsidR="001A4E44" w:rsidRPr="00BF618C">
        <w:rPr>
          <w:rFonts w:eastAsia="MS Mincho"/>
          <w:sz w:val="18"/>
          <w:szCs w:val="18"/>
          <w:vertAlign w:val="superscript"/>
        </w:rPr>
        <w:footnoteReference w:id="58"/>
      </w:r>
      <w:r w:rsidR="001A4E44" w:rsidRPr="00BF618C">
        <w:rPr>
          <w:rFonts w:eastAsia="MS Mincho"/>
          <w:sz w:val="18"/>
          <w:szCs w:val="18"/>
          <w:vertAlign w:val="superscript"/>
        </w:rPr>
        <w:t xml:space="preserve"> </w:t>
      </w:r>
      <w:r w:rsidR="001A4E44" w:rsidRPr="00A06B51">
        <w:rPr>
          <w:rFonts w:eastAsia="MS Mincho"/>
        </w:rPr>
        <w:t>What’s more, there is research suggesting that such filters disproportionately harm historically under-represented communities.</w:t>
      </w:r>
      <w:r w:rsidR="001A4E44" w:rsidRPr="00BF618C">
        <w:rPr>
          <w:rFonts w:eastAsia="MS Mincho"/>
          <w:sz w:val="18"/>
          <w:szCs w:val="18"/>
          <w:vertAlign w:val="superscript"/>
        </w:rPr>
        <w:footnoteReference w:id="59"/>
      </w:r>
    </w:p>
    <w:p w14:paraId="663D8884" w14:textId="197D9760" w:rsidR="001A4E44" w:rsidRPr="00A06B51" w:rsidRDefault="00732E36" w:rsidP="00A06B51">
      <w:pPr>
        <w:pStyle w:val="SingleTxtG"/>
        <w:rPr>
          <w:rFonts w:eastAsia="MS Mincho"/>
        </w:rPr>
      </w:pPr>
      <w:r>
        <w:rPr>
          <w:rFonts w:eastAsia="MS Mincho"/>
        </w:rPr>
        <w:t>35</w:t>
      </w:r>
      <w:r w:rsidR="001A4E44" w:rsidRPr="00A06B51">
        <w:rPr>
          <w:rFonts w:eastAsia="MS Mincho"/>
        </w:rPr>
        <w:t>.</w:t>
      </w:r>
      <w:r w:rsidR="001A4E44" w:rsidRPr="00A06B51">
        <w:rPr>
          <w:rFonts w:eastAsia="MS Mincho"/>
        </w:rPr>
        <w:tab/>
        <w:t>The push for upload filters for hate speech (and other kinds of content) is ill-advised, as it drives the platforms toward the regulation</w:t>
      </w:r>
      <w:r w:rsidR="00C957B8">
        <w:rPr>
          <w:rFonts w:eastAsia="MS Mincho"/>
        </w:rPr>
        <w:t xml:space="preserve"> and removal</w:t>
      </w:r>
      <w:r w:rsidR="001A4E44" w:rsidRPr="00A06B51">
        <w:rPr>
          <w:rFonts w:eastAsia="MS Mincho"/>
        </w:rPr>
        <w:t xml:space="preserve"> of lawful content. They enhance the power of the companies with very little, if any, oversight or opportunity for redress. States should instead be pursuing  laws and policies that push companies to protect free expression and counter lawfully restricted forms of hate speech through a combination of features: transparency requirements that allow public oversight; the enforcement of domestic law by independent judicial authorities; and other social and educational efforts along the lines propose</w:t>
      </w:r>
      <w:r w:rsidR="00A06B51">
        <w:rPr>
          <w:rFonts w:eastAsia="MS Mincho"/>
        </w:rPr>
        <w:t>d in the Rabat Plan of Action</w:t>
      </w:r>
      <w:r w:rsidR="00C957B8">
        <w:rPr>
          <w:rFonts w:eastAsia="MS Mincho"/>
        </w:rPr>
        <w:t xml:space="preserve"> and</w:t>
      </w:r>
      <w:r w:rsidR="004A3BA5">
        <w:rPr>
          <w:rFonts w:eastAsia="MS Mincho"/>
        </w:rPr>
        <w:t xml:space="preserve"> Human Rights Council</w:t>
      </w:r>
      <w:r w:rsidR="00C957B8">
        <w:rPr>
          <w:rFonts w:eastAsia="MS Mincho"/>
        </w:rPr>
        <w:t xml:space="preserve"> Resolution 16/18</w:t>
      </w:r>
      <w:r w:rsidR="00A06B51">
        <w:rPr>
          <w:rFonts w:eastAsia="MS Mincho"/>
        </w:rPr>
        <w:t xml:space="preserve">. </w:t>
      </w:r>
    </w:p>
    <w:p w14:paraId="61AB273D" w14:textId="18AF5E1E" w:rsidR="001A4E44" w:rsidRPr="00A06B51" w:rsidRDefault="00732E36" w:rsidP="00A06B51">
      <w:pPr>
        <w:pStyle w:val="SingleTxtG"/>
        <w:rPr>
          <w:rFonts w:eastAsia="MS Mincho"/>
        </w:rPr>
      </w:pPr>
      <w:r>
        <w:rPr>
          <w:rFonts w:eastAsia="MS Mincho"/>
        </w:rPr>
        <w:t>36</w:t>
      </w:r>
      <w:r w:rsidR="001A4E44" w:rsidRPr="00A06B51">
        <w:rPr>
          <w:rFonts w:eastAsia="MS Mincho"/>
        </w:rPr>
        <w:t>.</w:t>
      </w:r>
      <w:r w:rsidR="001A4E44" w:rsidRPr="00A06B51">
        <w:rPr>
          <w:rFonts w:eastAsia="MS Mincho"/>
        </w:rPr>
        <w:tab/>
        <w:t>Some States have taken steps to address illegal hate speech through other creative and seemingly proportionate means. While India has problematically adopted internet shutdowns as a tool to deal with content issues</w:t>
      </w:r>
      <w:r w:rsidR="004A3BA5">
        <w:rPr>
          <w:rFonts w:eastAsia="MS Mincho"/>
        </w:rPr>
        <w:t xml:space="preserve"> in some instances</w:t>
      </w:r>
      <w:r w:rsidR="001A4E44" w:rsidRPr="00A06B51">
        <w:rPr>
          <w:rFonts w:eastAsia="MS Mincho"/>
        </w:rPr>
        <w:t>, interfering disproportionately with the population’s access to communications</w:t>
      </w:r>
      <w:r w:rsidR="001A4E44" w:rsidRPr="00BF618C">
        <w:rPr>
          <w:rFonts w:eastAsia="MS Mincho"/>
          <w:sz w:val="18"/>
          <w:szCs w:val="18"/>
          <w:vertAlign w:val="superscript"/>
        </w:rPr>
        <w:footnoteReference w:id="60"/>
      </w:r>
      <w:r w:rsidR="001A4E44" w:rsidRPr="00A06B51">
        <w:rPr>
          <w:rFonts w:eastAsia="MS Mincho"/>
        </w:rPr>
        <w:t xml:space="preserve">, some states in India adopted alternative approaches. One approach involved the creation of hotlines for individuals to report WhatsApp </w:t>
      </w:r>
      <w:r w:rsidR="00C3199B">
        <w:rPr>
          <w:rFonts w:eastAsia="MS Mincho"/>
        </w:rPr>
        <w:t>content</w:t>
      </w:r>
      <w:r w:rsidR="001A4E44" w:rsidRPr="00A06B51">
        <w:rPr>
          <w:rFonts w:eastAsia="MS Mincho"/>
        </w:rPr>
        <w:t xml:space="preserve"> to law enforcement authorities, while another involved the establishment of “social media labs” to monitor online hate speech. While these kinds of approaches require careful development to be consistent with human rights norms, they suggest a kind of “creative” and “out of the box” approach to address hate speech without outsourcing to distant companies the role of content police.</w:t>
      </w:r>
      <w:r w:rsidR="00321220" w:rsidRPr="00BF618C">
        <w:rPr>
          <w:rFonts w:eastAsia="MS Mincho"/>
          <w:sz w:val="18"/>
          <w:szCs w:val="18"/>
          <w:vertAlign w:val="superscript"/>
        </w:rPr>
        <w:footnoteReference w:id="61"/>
      </w:r>
    </w:p>
    <w:p w14:paraId="7E0D2F97" w14:textId="597E6BF8" w:rsidR="001A4E44" w:rsidRPr="00A06B51" w:rsidRDefault="00732E36" w:rsidP="00A06B51">
      <w:pPr>
        <w:pStyle w:val="SingleTxtG"/>
        <w:rPr>
          <w:rFonts w:eastAsia="MS Mincho"/>
        </w:rPr>
      </w:pPr>
      <w:r>
        <w:rPr>
          <w:rFonts w:eastAsia="MS Mincho"/>
        </w:rPr>
        <w:t>37</w:t>
      </w:r>
      <w:r w:rsidR="001A4E44" w:rsidRPr="00A06B51">
        <w:rPr>
          <w:rFonts w:eastAsia="MS Mincho"/>
        </w:rPr>
        <w:t>.</w:t>
      </w:r>
      <w:r w:rsidR="001A4E44" w:rsidRPr="00A06B51">
        <w:rPr>
          <w:rFonts w:eastAsia="MS Mincho"/>
        </w:rPr>
        <w:tab/>
        <w:t>In 2019, an official commission in France proposed an approach to the regulation of online content that would seem to protect expression while also giving room to address unlawful hate speech. While the status of the commission’s work is unclear at the time of writing, its proposals involve judicial authorities addressing hate speech problems and multi-stakeholder initiatives to provide oversight of company policies. The c</w:t>
      </w:r>
      <w:r w:rsidR="00A06B51">
        <w:rPr>
          <w:rFonts w:eastAsia="MS Mincho"/>
        </w:rPr>
        <w:t>ommission concluded as follows:</w:t>
      </w:r>
    </w:p>
    <w:p w14:paraId="5AE7AB4A" w14:textId="09AAFC90" w:rsidR="001A4E44" w:rsidRPr="00A06B51" w:rsidRDefault="0061300C" w:rsidP="002138E6">
      <w:pPr>
        <w:pStyle w:val="SingleTxtG"/>
        <w:ind w:left="1701"/>
        <w:rPr>
          <w:rFonts w:eastAsia="MS Mincho"/>
        </w:rPr>
      </w:pPr>
      <w:r>
        <w:rPr>
          <w:rFonts w:eastAsia="MS Mincho"/>
        </w:rPr>
        <w:t>“</w:t>
      </w:r>
      <w:r w:rsidR="001A4E44" w:rsidRPr="00A06B51">
        <w:rPr>
          <w:rFonts w:eastAsia="MS Mincho"/>
        </w:rPr>
        <w:t>Public intervention to force the biggest players to assume a more responsible and protective attitude to our social cohesion therefore appears legitimate. Given the civil liberty issues at stake, this intervention should be subject to particular precautions. It must (1) respect the wide range of social network models, which are particularly diverse, (2) impose a principle of transparency and systematic inclusion of civil society, (3) aim for a minimum level of intervention in accordance with the principles of necessity and proportionality and (4) refer to the courts for the characterisation of the lawfulness of individual content.</w:t>
      </w:r>
      <w:r>
        <w:rPr>
          <w:rFonts w:eastAsia="MS Mincho"/>
        </w:rPr>
        <w:t>”</w:t>
      </w:r>
      <w:r w:rsidR="001A4E44" w:rsidRPr="00BF618C">
        <w:rPr>
          <w:rFonts w:eastAsia="MS Mincho"/>
          <w:sz w:val="18"/>
          <w:szCs w:val="18"/>
          <w:vertAlign w:val="superscript"/>
        </w:rPr>
        <w:footnoteReference w:id="62"/>
      </w:r>
      <w:r w:rsidR="00A06B51">
        <w:rPr>
          <w:rFonts w:eastAsia="MS Mincho"/>
        </w:rPr>
        <w:t xml:space="preserve"> </w:t>
      </w:r>
    </w:p>
    <w:p w14:paraId="04A32468" w14:textId="7E2D687C" w:rsidR="001A4E44" w:rsidRPr="00A06B51" w:rsidRDefault="00250B4D" w:rsidP="00A06B51">
      <w:pPr>
        <w:pStyle w:val="SingleTxtG"/>
        <w:rPr>
          <w:rFonts w:eastAsia="MS Mincho"/>
        </w:rPr>
      </w:pPr>
      <w:r>
        <w:rPr>
          <w:rFonts w:eastAsia="MS Mincho"/>
        </w:rPr>
        <w:t>38.</w:t>
      </w:r>
      <w:r>
        <w:rPr>
          <w:rFonts w:eastAsia="MS Mincho"/>
        </w:rPr>
        <w:tab/>
      </w:r>
      <w:r w:rsidR="001A4E44" w:rsidRPr="00A06B51">
        <w:rPr>
          <w:rFonts w:eastAsia="MS Mincho"/>
        </w:rPr>
        <w:t>This approach deserves further development and consideration, addressing issues of freedom of expression and “social cohesion” in ways that appear to enabl</w:t>
      </w:r>
      <w:r w:rsidR="00A06B51">
        <w:rPr>
          <w:rFonts w:eastAsia="MS Mincho"/>
        </w:rPr>
        <w:t xml:space="preserve">e respect for </w:t>
      </w:r>
      <w:r w:rsidR="001C51C3">
        <w:rPr>
          <w:rFonts w:eastAsia="MS Mincho"/>
        </w:rPr>
        <w:t xml:space="preserve">international </w:t>
      </w:r>
      <w:r w:rsidR="00A06B51">
        <w:rPr>
          <w:rFonts w:eastAsia="MS Mincho"/>
        </w:rPr>
        <w:t>human rights law.</w:t>
      </w:r>
    </w:p>
    <w:p w14:paraId="01B85A30" w14:textId="77777777" w:rsidR="001A4E44" w:rsidRPr="00A06B51" w:rsidRDefault="00A06B51" w:rsidP="00A06B51">
      <w:pPr>
        <w:pStyle w:val="H23G"/>
        <w:rPr>
          <w:rFonts w:eastAsia="MS Mincho"/>
        </w:rPr>
      </w:pPr>
      <w:r>
        <w:rPr>
          <w:rFonts w:eastAsia="MS Mincho"/>
        </w:rPr>
        <w:tab/>
      </w:r>
      <w:r>
        <w:rPr>
          <w:rFonts w:eastAsia="MS Mincho"/>
        </w:rPr>
        <w:tab/>
      </w:r>
      <w:r>
        <w:rPr>
          <w:rFonts w:eastAsia="MS Mincho"/>
        </w:rPr>
        <w:tab/>
        <w:t>Legitimacy</w:t>
      </w:r>
    </w:p>
    <w:p w14:paraId="1868A3F4" w14:textId="4C718695" w:rsidR="001A4E44" w:rsidRPr="00A06B51" w:rsidRDefault="003D5203" w:rsidP="00A06B51">
      <w:pPr>
        <w:pStyle w:val="SingleTxtG"/>
        <w:rPr>
          <w:rFonts w:eastAsia="MS Mincho"/>
        </w:rPr>
      </w:pPr>
      <w:r>
        <w:rPr>
          <w:rFonts w:eastAsia="MS Mincho"/>
        </w:rPr>
        <w:t>3</w:t>
      </w:r>
      <w:r w:rsidR="00250B4D">
        <w:rPr>
          <w:rFonts w:eastAsia="MS Mincho"/>
        </w:rPr>
        <w:t>9</w:t>
      </w:r>
      <w:r w:rsidR="001A4E44" w:rsidRPr="00A06B51">
        <w:rPr>
          <w:rFonts w:eastAsia="MS Mincho"/>
        </w:rPr>
        <w:t>.</w:t>
      </w:r>
      <w:r w:rsidR="001A4E44" w:rsidRPr="00A06B51">
        <w:rPr>
          <w:rFonts w:eastAsia="MS Mincho"/>
        </w:rPr>
        <w:tab/>
        <w:t xml:space="preserve">Government regulation of online intermediaries should be subject to the same guidelines for legitimacy as human rights law applied to all government restriction of speech. As noted above, certain kinds of speech that States may characterize as ‘hate speech’ should not be subject to prohibition under Article 20(2) or Article 19. </w:t>
      </w:r>
      <w:r w:rsidR="0061300C">
        <w:rPr>
          <w:rFonts w:eastAsia="MS Mincho"/>
        </w:rPr>
        <w:t>In addition</w:t>
      </w:r>
      <w:r w:rsidR="001A4E44" w:rsidRPr="00A06B51">
        <w:rPr>
          <w:rFonts w:eastAsia="MS Mincho"/>
        </w:rPr>
        <w:t>, legal terms that restrict incitement that</w:t>
      </w:r>
      <w:r w:rsidR="00C957B8">
        <w:rPr>
          <w:rFonts w:eastAsia="MS Mincho"/>
        </w:rPr>
        <w:t>, for instance,</w:t>
      </w:r>
      <w:r w:rsidR="001A4E44" w:rsidRPr="00A06B51">
        <w:rPr>
          <w:rFonts w:eastAsia="MS Mincho"/>
        </w:rPr>
        <w:t xml:space="preserve"> instigates </w:t>
      </w:r>
      <w:r w:rsidR="00C957B8">
        <w:rPr>
          <w:rFonts w:eastAsia="MS Mincho"/>
        </w:rPr>
        <w:t>‘</w:t>
      </w:r>
      <w:r w:rsidR="001A4E44" w:rsidRPr="00A06B51">
        <w:rPr>
          <w:rFonts w:eastAsia="MS Mincho"/>
        </w:rPr>
        <w:t>hatred against the regime</w:t>
      </w:r>
      <w:r w:rsidR="00C957B8">
        <w:rPr>
          <w:rFonts w:eastAsia="MS Mincho"/>
        </w:rPr>
        <w:t>’ or</w:t>
      </w:r>
      <w:r w:rsidR="001A4E44" w:rsidRPr="00A06B51">
        <w:rPr>
          <w:rFonts w:eastAsia="MS Mincho"/>
        </w:rPr>
        <w:t xml:space="preserve"> </w:t>
      </w:r>
      <w:r w:rsidR="00C957B8">
        <w:rPr>
          <w:rFonts w:eastAsia="MS Mincho"/>
        </w:rPr>
        <w:t>‘</w:t>
      </w:r>
      <w:r w:rsidR="001A4E44" w:rsidRPr="00A06B51">
        <w:rPr>
          <w:rFonts w:eastAsia="MS Mincho"/>
        </w:rPr>
        <w:t>subversion of State power</w:t>
      </w:r>
      <w:r w:rsidR="00C957B8">
        <w:rPr>
          <w:rFonts w:eastAsia="MS Mincho"/>
        </w:rPr>
        <w:t>’</w:t>
      </w:r>
      <w:r w:rsidR="00B5042E">
        <w:rPr>
          <w:rFonts w:eastAsia="MS Mincho"/>
        </w:rPr>
        <w:t>,</w:t>
      </w:r>
      <w:r w:rsidR="001A4E44" w:rsidRPr="00A06B51">
        <w:rPr>
          <w:rFonts w:eastAsia="MS Mincho"/>
        </w:rPr>
        <w:t xml:space="preserve"> are unlawful bases for restriction under Article 19(3).</w:t>
      </w:r>
      <w:r w:rsidR="001A4E44" w:rsidRPr="00BF618C">
        <w:rPr>
          <w:rFonts w:eastAsia="MS Mincho"/>
          <w:sz w:val="18"/>
          <w:szCs w:val="18"/>
          <w:vertAlign w:val="superscript"/>
        </w:rPr>
        <w:footnoteReference w:id="63"/>
      </w:r>
      <w:r w:rsidR="001A4E44" w:rsidRPr="00A06B51">
        <w:rPr>
          <w:rFonts w:eastAsia="MS Mincho"/>
        </w:rPr>
        <w:t xml:space="preserve"> Overly broad definitions of hate speech – for instance proscribing incitement of ‘religious discord,’ or </w:t>
      </w:r>
      <w:r w:rsidR="00C957B8">
        <w:rPr>
          <w:rFonts w:eastAsia="MS Mincho"/>
        </w:rPr>
        <w:t>speech</w:t>
      </w:r>
      <w:r w:rsidR="00C957B8" w:rsidRPr="00A06B51">
        <w:rPr>
          <w:rFonts w:eastAsia="MS Mincho"/>
        </w:rPr>
        <w:t xml:space="preserve"> </w:t>
      </w:r>
      <w:r w:rsidR="001A4E44" w:rsidRPr="00A06B51">
        <w:rPr>
          <w:rFonts w:eastAsia="MS Mincho"/>
        </w:rPr>
        <w:t>that might subject a country to violent acts</w:t>
      </w:r>
      <w:r w:rsidR="001A4E44" w:rsidRPr="00BF618C">
        <w:rPr>
          <w:rFonts w:eastAsia="MS Mincho"/>
          <w:sz w:val="18"/>
          <w:szCs w:val="18"/>
          <w:vertAlign w:val="superscript"/>
        </w:rPr>
        <w:footnoteReference w:id="64"/>
      </w:r>
      <w:r w:rsidR="001A4E44" w:rsidRPr="00A06B51">
        <w:rPr>
          <w:rFonts w:eastAsia="MS Mincho"/>
        </w:rPr>
        <w:t xml:space="preserve"> – typically enable speech restrictions for illegitimate purposes, or in this case, demands on intermediaries that are inconsis</w:t>
      </w:r>
      <w:r w:rsidR="00A06B51">
        <w:rPr>
          <w:rFonts w:eastAsia="MS Mincho"/>
        </w:rPr>
        <w:t xml:space="preserve">tent with human rights law.    </w:t>
      </w:r>
    </w:p>
    <w:p w14:paraId="01668A2F" w14:textId="60E4ABC4" w:rsidR="001A4E44" w:rsidRPr="00A06B51" w:rsidRDefault="00A06B51" w:rsidP="00A06B51">
      <w:pPr>
        <w:pStyle w:val="H1G"/>
        <w:rPr>
          <w:rFonts w:eastAsia="MS Mincho"/>
        </w:rPr>
      </w:pPr>
      <w:r>
        <w:rPr>
          <w:rFonts w:eastAsia="MS Mincho"/>
        </w:rPr>
        <w:tab/>
        <w:t>B.</w:t>
      </w:r>
      <w:r>
        <w:rPr>
          <w:rFonts w:eastAsia="MS Mincho"/>
        </w:rPr>
        <w:tab/>
      </w:r>
      <w:r w:rsidR="001A4E44" w:rsidRPr="00A06B51">
        <w:rPr>
          <w:rFonts w:eastAsia="MS Mincho"/>
        </w:rPr>
        <w:t>Company content moderation and hate speech</w:t>
      </w:r>
    </w:p>
    <w:p w14:paraId="55CFDC94" w14:textId="4BA3FBE3" w:rsidR="001A4E44" w:rsidRPr="00A06B51" w:rsidRDefault="00250B4D" w:rsidP="00A06B51">
      <w:pPr>
        <w:pStyle w:val="SingleTxtG"/>
        <w:rPr>
          <w:rFonts w:eastAsia="MS Mincho"/>
        </w:rPr>
      </w:pPr>
      <w:r>
        <w:rPr>
          <w:rFonts w:eastAsia="MS Mincho"/>
        </w:rPr>
        <w:t>40</w:t>
      </w:r>
      <w:r w:rsidR="001A4E44" w:rsidRPr="00A06B51">
        <w:rPr>
          <w:rFonts w:eastAsia="MS Mincho"/>
        </w:rPr>
        <w:t>.</w:t>
      </w:r>
      <w:r w:rsidR="001A4E44" w:rsidRPr="00A06B51">
        <w:rPr>
          <w:rFonts w:eastAsia="MS Mincho"/>
        </w:rPr>
        <w:tab/>
        <w:t>It is on the platforms</w:t>
      </w:r>
      <w:r w:rsidR="00287C0E">
        <w:rPr>
          <w:rFonts w:eastAsia="MS Mincho"/>
        </w:rPr>
        <w:t xml:space="preserve"> of internet companies</w:t>
      </w:r>
      <w:r w:rsidR="001A4E44" w:rsidRPr="00A06B51">
        <w:rPr>
          <w:rFonts w:eastAsia="MS Mincho"/>
        </w:rPr>
        <w:t xml:space="preserve"> where hateful content spreads</w:t>
      </w:r>
      <w:r w:rsidR="00AC608B">
        <w:rPr>
          <w:rFonts w:eastAsia="MS Mincho"/>
        </w:rPr>
        <w:t xml:space="preserve"> online</w:t>
      </w:r>
      <w:r w:rsidR="001A4E44" w:rsidRPr="00A06B51">
        <w:rPr>
          <w:rFonts w:eastAsia="MS Mincho"/>
        </w:rPr>
        <w:t>, seemingly spurred on by a business model that values attention and virality.</w:t>
      </w:r>
      <w:r w:rsidR="001A4E44" w:rsidRPr="00BF618C">
        <w:rPr>
          <w:rFonts w:eastAsia="MS Mincho"/>
          <w:sz w:val="18"/>
          <w:szCs w:val="18"/>
          <w:vertAlign w:val="superscript"/>
        </w:rPr>
        <w:footnoteReference w:id="65"/>
      </w:r>
      <w:r w:rsidR="001A4E44" w:rsidRPr="00BF618C">
        <w:rPr>
          <w:rFonts w:eastAsia="MS Mincho"/>
          <w:sz w:val="18"/>
          <w:szCs w:val="18"/>
          <w:vertAlign w:val="superscript"/>
        </w:rPr>
        <w:t xml:space="preserve"> </w:t>
      </w:r>
      <w:r w:rsidR="00CC55AE">
        <w:rPr>
          <w:rFonts w:eastAsia="MS Mincho"/>
        </w:rPr>
        <w:t>T</w:t>
      </w:r>
      <w:r w:rsidR="001A4E44" w:rsidRPr="00A06B51">
        <w:rPr>
          <w:rFonts w:eastAsia="MS Mincho"/>
        </w:rPr>
        <w:t>he</w:t>
      </w:r>
      <w:r w:rsidR="00AC608B">
        <w:rPr>
          <w:rFonts w:eastAsia="MS Mincho"/>
        </w:rPr>
        <w:t xml:space="preserve"> largest</w:t>
      </w:r>
      <w:r w:rsidR="001A4E44" w:rsidRPr="00A06B51">
        <w:rPr>
          <w:rFonts w:eastAsia="MS Mincho"/>
        </w:rPr>
        <w:t xml:space="preserve"> deploy “classifiers” such that AI software can identify</w:t>
      </w:r>
      <w:r w:rsidR="00CB5C4C">
        <w:rPr>
          <w:rFonts w:eastAsia="MS Mincho"/>
        </w:rPr>
        <w:t xml:space="preserve"> </w:t>
      </w:r>
      <w:r w:rsidR="001A4E44" w:rsidRPr="00A06B51">
        <w:rPr>
          <w:rFonts w:eastAsia="MS Mincho"/>
        </w:rPr>
        <w:t>proscribed content</w:t>
      </w:r>
      <w:r w:rsidR="00CB5C4C">
        <w:rPr>
          <w:rFonts w:eastAsia="MS Mincho"/>
        </w:rPr>
        <w:t>, with perhaps only intermittent success,</w:t>
      </w:r>
      <w:r w:rsidR="00CB5C4C" w:rsidRPr="00A06B51">
        <w:rPr>
          <w:rFonts w:eastAsia="MS Mincho"/>
        </w:rPr>
        <w:t xml:space="preserve"> </w:t>
      </w:r>
      <w:r w:rsidR="001A4E44" w:rsidRPr="00A06B51">
        <w:rPr>
          <w:rFonts w:eastAsia="MS Mincho"/>
        </w:rPr>
        <w:t>based on specific words and analysis.</w:t>
      </w:r>
      <w:r w:rsidR="001A4E44" w:rsidRPr="00BF618C">
        <w:rPr>
          <w:rFonts w:eastAsia="MS Mincho"/>
          <w:sz w:val="18"/>
          <w:szCs w:val="18"/>
          <w:vertAlign w:val="superscript"/>
        </w:rPr>
        <w:t xml:space="preserve"> </w:t>
      </w:r>
      <w:r w:rsidR="001A4E44" w:rsidRPr="00A06B51">
        <w:rPr>
          <w:rFonts w:eastAsia="MS Mincho"/>
        </w:rPr>
        <w:t>They operate across jurisdictions, and the same content in one location may cause a</w:t>
      </w:r>
      <w:r w:rsidR="002138E6">
        <w:rPr>
          <w:rFonts w:eastAsia="MS Mincho"/>
        </w:rPr>
        <w:t xml:space="preserve"> </w:t>
      </w:r>
      <w:r w:rsidR="001A4E44" w:rsidRPr="00A06B51">
        <w:rPr>
          <w:rFonts w:eastAsia="MS Mincho"/>
        </w:rPr>
        <w:t>different impact elsewhere. Online hate speech often involves unknown speakers, with coordinated bot threats, disinformation and deep fakes, and mob attacks</w:t>
      </w:r>
      <w:r w:rsidR="001A4E44" w:rsidRPr="00BF618C">
        <w:rPr>
          <w:rFonts w:eastAsia="MS Mincho"/>
          <w:sz w:val="18"/>
          <w:szCs w:val="18"/>
          <w:vertAlign w:val="superscript"/>
        </w:rPr>
        <w:footnoteReference w:id="66"/>
      </w:r>
      <w:r w:rsidR="00A06B51" w:rsidRPr="00BF618C">
        <w:rPr>
          <w:rFonts w:eastAsia="MS Mincho"/>
          <w:sz w:val="18"/>
          <w:szCs w:val="18"/>
          <w:vertAlign w:val="superscript"/>
        </w:rPr>
        <w:t>.</w:t>
      </w:r>
      <w:r w:rsidR="00A06B51">
        <w:rPr>
          <w:rFonts w:eastAsia="MS Mincho"/>
        </w:rPr>
        <w:t xml:space="preserve">  </w:t>
      </w:r>
    </w:p>
    <w:p w14:paraId="224DF9C1" w14:textId="12BE2565" w:rsidR="001A4E44" w:rsidRPr="00A06B51" w:rsidRDefault="003D5203" w:rsidP="00A06B51">
      <w:pPr>
        <w:pStyle w:val="SingleTxtG"/>
        <w:rPr>
          <w:rFonts w:eastAsia="MS Mincho"/>
        </w:rPr>
      </w:pPr>
      <w:r>
        <w:rPr>
          <w:rFonts w:eastAsia="MS Mincho"/>
        </w:rPr>
        <w:t>4</w:t>
      </w:r>
      <w:r w:rsidR="00250B4D">
        <w:rPr>
          <w:rFonts w:eastAsia="MS Mincho"/>
        </w:rPr>
        <w:t>1</w:t>
      </w:r>
      <w:r w:rsidR="001A4E44" w:rsidRPr="00A06B51">
        <w:rPr>
          <w:rFonts w:eastAsia="MS Mincho"/>
        </w:rPr>
        <w:t>.</w:t>
      </w:r>
      <w:r w:rsidR="001A4E44" w:rsidRPr="00A06B51">
        <w:rPr>
          <w:rFonts w:eastAsia="MS Mincho"/>
        </w:rPr>
        <w:tab/>
        <w:t>Internet companies shape their platforms’ rules and public presentation (or brand).</w:t>
      </w:r>
      <w:r w:rsidR="00AC608B" w:rsidRPr="00BF618C">
        <w:rPr>
          <w:rFonts w:eastAsia="MS Mincho"/>
          <w:sz w:val="18"/>
          <w:szCs w:val="18"/>
          <w:vertAlign w:val="superscript"/>
        </w:rPr>
        <w:footnoteReference w:id="67"/>
      </w:r>
      <w:r w:rsidR="00AC608B" w:rsidRPr="00BF618C">
        <w:rPr>
          <w:rFonts w:eastAsia="MS Mincho"/>
          <w:sz w:val="18"/>
          <w:szCs w:val="18"/>
          <w:vertAlign w:val="superscript"/>
        </w:rPr>
        <w:t xml:space="preserve"> </w:t>
      </w:r>
      <w:r w:rsidR="001A4E44" w:rsidRPr="00A06B51">
        <w:rPr>
          <w:rFonts w:eastAsia="MS Mincho"/>
        </w:rPr>
        <w:t>They have massive impact on human rights, particularly but not only in places where they are the predominant form of public and private expression, where a limitation of speech can amount to public silencing or a failure to deal with incitement can facilitate offline violence and discrimination</w:t>
      </w:r>
      <w:r w:rsidR="001A4E44" w:rsidRPr="00BF618C">
        <w:rPr>
          <w:rFonts w:eastAsia="MS Mincho"/>
          <w:sz w:val="18"/>
          <w:szCs w:val="18"/>
          <w:vertAlign w:val="superscript"/>
        </w:rPr>
        <w:footnoteReference w:id="68"/>
      </w:r>
      <w:r w:rsidR="00B5042E">
        <w:rPr>
          <w:rFonts w:eastAsia="MS Mincho"/>
        </w:rPr>
        <w:t xml:space="preserve">. </w:t>
      </w:r>
      <w:r w:rsidR="00010EA3">
        <w:rPr>
          <w:rFonts w:eastAsia="MS Mincho"/>
        </w:rPr>
        <w:t xml:space="preserve">The consequences of ungoverned online hate can be tragic, as illuminated by Facebook’s failure to address incitement against the Rohingya Muslim community in Myanmar. </w:t>
      </w:r>
      <w:r w:rsidR="001A4E44" w:rsidRPr="00A06B51">
        <w:rPr>
          <w:rFonts w:eastAsia="MS Mincho"/>
        </w:rPr>
        <w:t>Companies do not have the obligations of governments</w:t>
      </w:r>
      <w:r w:rsidR="00B5042E">
        <w:rPr>
          <w:rFonts w:eastAsia="MS Mincho"/>
        </w:rPr>
        <w:t xml:space="preserve">, </w:t>
      </w:r>
      <w:r w:rsidR="001A4E44" w:rsidRPr="00A06B51">
        <w:rPr>
          <w:rFonts w:eastAsia="MS Mincho"/>
        </w:rPr>
        <w:t>but their impact is of a sort that requires them to assess the same kind of questions about protecting their users’ ri</w:t>
      </w:r>
      <w:r w:rsidR="00A06B51">
        <w:rPr>
          <w:rFonts w:eastAsia="MS Mincho"/>
        </w:rPr>
        <w:t>ghts to freedom of expression.</w:t>
      </w:r>
      <w:r w:rsidR="00B5042E" w:rsidRPr="00BF618C">
        <w:rPr>
          <w:rFonts w:eastAsia="MS Mincho"/>
          <w:sz w:val="18"/>
          <w:szCs w:val="18"/>
          <w:vertAlign w:val="superscript"/>
        </w:rPr>
        <w:footnoteReference w:id="69"/>
      </w:r>
      <w:r w:rsidR="00A06B51">
        <w:rPr>
          <w:rFonts w:eastAsia="MS Mincho"/>
        </w:rPr>
        <w:t xml:space="preserve"> </w:t>
      </w:r>
    </w:p>
    <w:p w14:paraId="247313D7" w14:textId="5BC07EC4" w:rsidR="001A4E44" w:rsidRPr="00A06B51" w:rsidRDefault="003D5203" w:rsidP="00A06B51">
      <w:pPr>
        <w:pStyle w:val="SingleTxtG"/>
        <w:rPr>
          <w:rFonts w:eastAsia="MS Mincho"/>
        </w:rPr>
      </w:pPr>
      <w:r>
        <w:rPr>
          <w:rFonts w:eastAsia="MS Mincho"/>
        </w:rPr>
        <w:t>4</w:t>
      </w:r>
      <w:r w:rsidR="00250B4D">
        <w:rPr>
          <w:rFonts w:eastAsia="MS Mincho"/>
        </w:rPr>
        <w:t>2</w:t>
      </w:r>
      <w:r w:rsidR="001A4E44" w:rsidRPr="00A06B51">
        <w:rPr>
          <w:rFonts w:eastAsia="MS Mincho"/>
        </w:rPr>
        <w:t>.</w:t>
      </w:r>
      <w:r w:rsidR="001A4E44" w:rsidRPr="00A06B51">
        <w:rPr>
          <w:rFonts w:eastAsia="MS Mincho"/>
        </w:rPr>
        <w:tab/>
      </w:r>
      <w:r w:rsidR="000039A2" w:rsidRPr="00A06B51">
        <w:rPr>
          <w:rFonts w:eastAsia="MS Mincho"/>
        </w:rPr>
        <w:t>Previous reports have argued that all companies in the ICT sector should be applying the UN Guiding Principles on Business and Human Rights and establish human rights by design and by default.</w:t>
      </w:r>
      <w:r w:rsidR="000039A2" w:rsidRPr="00BF618C">
        <w:rPr>
          <w:rFonts w:eastAsia="MS Mincho"/>
          <w:sz w:val="18"/>
          <w:szCs w:val="18"/>
          <w:vertAlign w:val="superscript"/>
        </w:rPr>
        <w:t xml:space="preserve"> </w:t>
      </w:r>
      <w:r w:rsidR="000039A2">
        <w:rPr>
          <w:rFonts w:eastAsia="MS Mincho"/>
          <w:sz w:val="18"/>
          <w:szCs w:val="18"/>
          <w:vertAlign w:val="superscript"/>
        </w:rPr>
        <w:t xml:space="preserve"> </w:t>
      </w:r>
      <w:r w:rsidR="00B5042E">
        <w:rPr>
          <w:rFonts w:eastAsia="MS Mincho"/>
        </w:rPr>
        <w:t>Yet</w:t>
      </w:r>
      <w:r w:rsidR="000039A2">
        <w:rPr>
          <w:rFonts w:eastAsia="MS Mincho"/>
        </w:rPr>
        <w:t xml:space="preserve"> c</w:t>
      </w:r>
      <w:r w:rsidR="001A4E44" w:rsidRPr="00A06B51">
        <w:rPr>
          <w:rFonts w:eastAsia="MS Mincho"/>
        </w:rPr>
        <w:t xml:space="preserve">ompanies manage </w:t>
      </w:r>
      <w:r w:rsidR="000039A2">
        <w:rPr>
          <w:rFonts w:eastAsia="MS Mincho"/>
        </w:rPr>
        <w:t>‘</w:t>
      </w:r>
      <w:r w:rsidR="001A4E44" w:rsidRPr="00A06B51">
        <w:rPr>
          <w:rFonts w:eastAsia="MS Mincho"/>
        </w:rPr>
        <w:t>hate speech</w:t>
      </w:r>
      <w:r w:rsidR="000039A2">
        <w:rPr>
          <w:rFonts w:eastAsia="MS Mincho"/>
        </w:rPr>
        <w:t>’</w:t>
      </w:r>
      <w:r w:rsidR="001A4E44" w:rsidRPr="00A06B51">
        <w:rPr>
          <w:rFonts w:eastAsia="MS Mincho"/>
        </w:rPr>
        <w:t xml:space="preserve"> on their platforms almost entirely without reference to the human rights implications of their products</w:t>
      </w:r>
      <w:r w:rsidR="001A4E44" w:rsidRPr="00BF618C">
        <w:rPr>
          <w:rFonts w:eastAsia="MS Mincho"/>
          <w:sz w:val="18"/>
          <w:szCs w:val="18"/>
          <w:vertAlign w:val="superscript"/>
        </w:rPr>
        <w:t>.</w:t>
      </w:r>
      <w:r w:rsidR="001A4E44" w:rsidRPr="00BF618C">
        <w:rPr>
          <w:rFonts w:eastAsia="MS Mincho"/>
          <w:sz w:val="18"/>
          <w:szCs w:val="18"/>
          <w:vertAlign w:val="superscript"/>
        </w:rPr>
        <w:footnoteReference w:id="70"/>
      </w:r>
      <w:r w:rsidR="001A4E44" w:rsidRPr="00A06B51">
        <w:rPr>
          <w:rFonts w:eastAsia="MS Mincho"/>
        </w:rPr>
        <w:t xml:space="preserve"> This is a mistake, depriving the companies of a framework for making rights-compliant decisions and articulating their enforcement to governments and individuals, while hobbling the public’s capacity to make claims using a globally understood vocabulary. This report reiterates the call for </w:t>
      </w:r>
      <w:r w:rsidR="000039A2">
        <w:rPr>
          <w:rFonts w:eastAsia="MS Mincho"/>
        </w:rPr>
        <w:t>company</w:t>
      </w:r>
      <w:r w:rsidR="001A4E44" w:rsidRPr="00A06B51">
        <w:rPr>
          <w:rFonts w:eastAsia="MS Mincho"/>
        </w:rPr>
        <w:t xml:space="preserve"> human rights policies that involve mechanisms to:</w:t>
      </w:r>
    </w:p>
    <w:p w14:paraId="6DCCF7D1" w14:textId="77777777" w:rsidR="001A4E44" w:rsidRPr="00A06B51" w:rsidRDefault="001A4E44" w:rsidP="00F15331">
      <w:pPr>
        <w:pStyle w:val="SingleTxtG"/>
        <w:numPr>
          <w:ilvl w:val="0"/>
          <w:numId w:val="26"/>
        </w:numPr>
        <w:ind w:left="1134" w:firstLine="567"/>
        <w:rPr>
          <w:rFonts w:eastAsia="MS Mincho"/>
        </w:rPr>
      </w:pPr>
      <w:r w:rsidRPr="00A06B51">
        <w:rPr>
          <w:rFonts w:eastAsia="MS Mincho"/>
        </w:rPr>
        <w:t>conduct periodic review of</w:t>
      </w:r>
      <w:r w:rsidR="00A06B51">
        <w:rPr>
          <w:rFonts w:eastAsia="MS Mincho"/>
        </w:rPr>
        <w:t xml:space="preserve"> their impact on human rights, </w:t>
      </w:r>
    </w:p>
    <w:p w14:paraId="6B4C0F86" w14:textId="77777777" w:rsidR="001A4E44" w:rsidRPr="00A06B51" w:rsidRDefault="001A4E44" w:rsidP="00F15331">
      <w:pPr>
        <w:pStyle w:val="SingleTxtG"/>
        <w:numPr>
          <w:ilvl w:val="0"/>
          <w:numId w:val="26"/>
        </w:numPr>
        <w:ind w:left="1134" w:firstLine="567"/>
        <w:rPr>
          <w:rFonts w:eastAsia="MS Mincho"/>
        </w:rPr>
      </w:pPr>
      <w:r w:rsidRPr="00A06B51">
        <w:rPr>
          <w:rFonts w:eastAsia="MS Mincho"/>
        </w:rPr>
        <w:t>avoid adverse human rights impacts and prevent or mit</w:t>
      </w:r>
      <w:r w:rsidR="00A06B51">
        <w:rPr>
          <w:rFonts w:eastAsia="MS Mincho"/>
        </w:rPr>
        <w:t xml:space="preserve">igate those that do arise, and </w:t>
      </w:r>
    </w:p>
    <w:p w14:paraId="5FFC7898" w14:textId="77777777" w:rsidR="001A4E44" w:rsidRPr="00AB236F" w:rsidRDefault="001A4E44" w:rsidP="00F15331">
      <w:pPr>
        <w:pStyle w:val="SingleTxtG"/>
        <w:numPr>
          <w:ilvl w:val="0"/>
          <w:numId w:val="26"/>
        </w:numPr>
        <w:ind w:left="1134" w:firstLine="567"/>
        <w:rPr>
          <w:rFonts w:eastAsia="MS Mincho"/>
          <w:sz w:val="18"/>
          <w:szCs w:val="18"/>
        </w:rPr>
      </w:pPr>
      <w:r w:rsidRPr="00A06B51">
        <w:rPr>
          <w:rFonts w:eastAsia="MS Mincho"/>
        </w:rPr>
        <w:t>implement due diligence processes to “identify, prevent, mitigate and account for how they address human rights impacts” and have a process for remediating harm</w:t>
      </w:r>
      <w:r w:rsidRPr="00AB236F">
        <w:rPr>
          <w:rFonts w:eastAsia="MS Mincho"/>
          <w:sz w:val="18"/>
          <w:szCs w:val="18"/>
        </w:rPr>
        <w:t>.</w:t>
      </w:r>
      <w:r w:rsidRPr="00AB236F">
        <w:rPr>
          <w:rFonts w:eastAsia="MS Mincho"/>
          <w:sz w:val="18"/>
          <w:szCs w:val="18"/>
          <w:vertAlign w:val="superscript"/>
        </w:rPr>
        <w:footnoteReference w:id="71"/>
      </w:r>
      <w:r w:rsidR="00A06B51" w:rsidRPr="00AB236F">
        <w:rPr>
          <w:rFonts w:eastAsia="MS Mincho"/>
          <w:sz w:val="18"/>
          <w:szCs w:val="18"/>
          <w:vertAlign w:val="superscript"/>
        </w:rPr>
        <w:t xml:space="preserve"> </w:t>
      </w:r>
    </w:p>
    <w:p w14:paraId="73AB553A" w14:textId="741721DF" w:rsidR="001A4E44" w:rsidRDefault="003D5203" w:rsidP="00A06B51">
      <w:pPr>
        <w:pStyle w:val="SingleTxtG"/>
        <w:rPr>
          <w:rFonts w:eastAsia="MS Mincho"/>
        </w:rPr>
      </w:pPr>
      <w:r>
        <w:rPr>
          <w:rFonts w:eastAsia="MS Mincho"/>
        </w:rPr>
        <w:t>4</w:t>
      </w:r>
      <w:r w:rsidR="00250B4D">
        <w:rPr>
          <w:rFonts w:eastAsia="MS Mincho"/>
        </w:rPr>
        <w:t>3</w:t>
      </w:r>
      <w:r w:rsidR="001A4E44" w:rsidRPr="00A06B51">
        <w:rPr>
          <w:rFonts w:eastAsia="MS Mincho"/>
        </w:rPr>
        <w:t>.</w:t>
      </w:r>
      <w:r w:rsidR="001A4E44" w:rsidRPr="00A06B51">
        <w:rPr>
          <w:rFonts w:eastAsia="MS Mincho"/>
        </w:rPr>
        <w:tab/>
        <w:t>There will always be difficult questions about how to apply</w:t>
      </w:r>
      <w:r w:rsidR="00C957B8">
        <w:rPr>
          <w:rFonts w:eastAsia="MS Mincho"/>
        </w:rPr>
        <w:t xml:space="preserve"> UN</w:t>
      </w:r>
      <w:r w:rsidR="001A4E44" w:rsidRPr="00A06B51">
        <w:rPr>
          <w:rFonts w:eastAsia="MS Mincho"/>
        </w:rPr>
        <w:t xml:space="preserve"> human rights standards to a wide range of content (just as there are difficult questions about national laws and regional human rights law).</w:t>
      </w:r>
      <w:r w:rsidR="001A4E44" w:rsidRPr="00AB236F">
        <w:rPr>
          <w:rFonts w:eastAsia="MS Mincho"/>
          <w:sz w:val="18"/>
          <w:szCs w:val="18"/>
          <w:vertAlign w:val="superscript"/>
        </w:rPr>
        <w:footnoteReference w:id="72"/>
      </w:r>
      <w:r w:rsidR="001A4E44" w:rsidRPr="00AB236F">
        <w:rPr>
          <w:rFonts w:eastAsia="MS Mincho"/>
          <w:sz w:val="18"/>
          <w:szCs w:val="18"/>
          <w:vertAlign w:val="superscript"/>
        </w:rPr>
        <w:t xml:space="preserve"> </w:t>
      </w:r>
      <w:r w:rsidR="00B5042E">
        <w:rPr>
          <w:rFonts w:eastAsia="MS Mincho"/>
          <w:sz w:val="18"/>
          <w:szCs w:val="18"/>
          <w:vertAlign w:val="superscript"/>
        </w:rPr>
        <w:t xml:space="preserve"> </w:t>
      </w:r>
      <w:r w:rsidR="001A4E44" w:rsidRPr="00A06B51">
        <w:rPr>
          <w:rFonts w:eastAsia="MS Mincho"/>
        </w:rPr>
        <w:t xml:space="preserve">However, </w:t>
      </w:r>
      <w:r w:rsidR="0009309B">
        <w:rPr>
          <w:rFonts w:eastAsia="MS Mincho"/>
        </w:rPr>
        <w:t>the guidance above</w:t>
      </w:r>
      <w:r w:rsidR="001A4E44" w:rsidRPr="00A06B51">
        <w:rPr>
          <w:rFonts w:eastAsia="MS Mincho"/>
        </w:rPr>
        <w:t xml:space="preserve"> can</w:t>
      </w:r>
      <w:r w:rsidR="0009309B">
        <w:rPr>
          <w:rFonts w:eastAsia="MS Mincho"/>
        </w:rPr>
        <w:t xml:space="preserve"> help</w:t>
      </w:r>
      <w:r w:rsidR="001A4E44" w:rsidRPr="00A06B51">
        <w:rPr>
          <w:rFonts w:eastAsia="MS Mincho"/>
        </w:rPr>
        <w:t xml:space="preserve"> shape company protection of rights at each stage of the moderation of content: product development, definition, identification, action, and remedy. </w:t>
      </w:r>
      <w:r w:rsidR="0009309B">
        <w:rPr>
          <w:rFonts w:eastAsia="MS Mincho"/>
        </w:rPr>
        <w:t>G</w:t>
      </w:r>
      <w:r w:rsidR="001A4E44" w:rsidRPr="00A06B51">
        <w:rPr>
          <w:rFonts w:eastAsia="MS Mincho"/>
        </w:rPr>
        <w:t xml:space="preserve">lobal norms provide </w:t>
      </w:r>
      <w:r w:rsidR="0009309B">
        <w:rPr>
          <w:rFonts w:eastAsia="MS Mincho"/>
        </w:rPr>
        <w:t>a</w:t>
      </w:r>
      <w:r w:rsidR="0009309B" w:rsidRPr="00A06B51">
        <w:rPr>
          <w:rFonts w:eastAsia="MS Mincho"/>
        </w:rPr>
        <w:t xml:space="preserve"> </w:t>
      </w:r>
      <w:r w:rsidR="001A4E44" w:rsidRPr="00A06B51">
        <w:rPr>
          <w:rFonts w:eastAsia="MS Mincho"/>
        </w:rPr>
        <w:t>firm basis for companies with global users communicating across borders, and they are called fo</w:t>
      </w:r>
      <w:r w:rsidR="00A06B51">
        <w:rPr>
          <w:rFonts w:eastAsia="MS Mincho"/>
        </w:rPr>
        <w:t>r by the UN Guiding Principles</w:t>
      </w:r>
      <w:r w:rsidR="00F74CDB">
        <w:rPr>
          <w:rFonts w:eastAsia="MS Mincho"/>
        </w:rPr>
        <w:t xml:space="preserve"> (Principle 12)</w:t>
      </w:r>
      <w:r w:rsidR="00A06B51">
        <w:rPr>
          <w:rFonts w:eastAsia="MS Mincho"/>
        </w:rPr>
        <w:t>.</w:t>
      </w:r>
      <w:r w:rsidR="00B5042E">
        <w:rPr>
          <w:rStyle w:val="FootnoteReference"/>
          <w:rFonts w:eastAsia="MS Mincho"/>
        </w:rPr>
        <w:footnoteReference w:id="73"/>
      </w:r>
    </w:p>
    <w:p w14:paraId="20DC8B5D" w14:textId="1CB06478" w:rsidR="0009309B" w:rsidRPr="002138E6" w:rsidRDefault="0009309B" w:rsidP="00A06B51">
      <w:pPr>
        <w:pStyle w:val="SingleTxtG"/>
        <w:rPr>
          <w:rFonts w:eastAsia="MS Mincho"/>
          <w:i/>
          <w:iCs/>
        </w:rPr>
      </w:pPr>
      <w:r w:rsidRPr="002138E6">
        <w:rPr>
          <w:rFonts w:eastAsia="MS Mincho"/>
          <w:i/>
          <w:iCs/>
        </w:rPr>
        <w:t>Human Rights Due Diligence</w:t>
      </w:r>
      <w:r w:rsidR="00FD0BE0">
        <w:rPr>
          <w:rFonts w:eastAsia="MS Mincho"/>
          <w:i/>
          <w:iCs/>
        </w:rPr>
        <w:t xml:space="preserve"> and Review</w:t>
      </w:r>
    </w:p>
    <w:p w14:paraId="00C980DB" w14:textId="0B51EB40" w:rsidR="00B5042E" w:rsidRDefault="003D5203" w:rsidP="00A06B51">
      <w:pPr>
        <w:pStyle w:val="SingleTxtG"/>
        <w:rPr>
          <w:rFonts w:eastAsia="MS Mincho"/>
        </w:rPr>
      </w:pPr>
      <w:r>
        <w:rPr>
          <w:rFonts w:eastAsia="MS Mincho"/>
        </w:rPr>
        <w:t>4</w:t>
      </w:r>
      <w:r w:rsidR="00250B4D">
        <w:rPr>
          <w:rFonts w:eastAsia="MS Mincho"/>
        </w:rPr>
        <w:t>4</w:t>
      </w:r>
      <w:r w:rsidR="001A4E44" w:rsidRPr="00A06B51">
        <w:rPr>
          <w:rFonts w:eastAsia="MS Mincho"/>
        </w:rPr>
        <w:t>.</w:t>
      </w:r>
      <w:r w:rsidR="001A4E44" w:rsidRPr="00A06B51">
        <w:rPr>
          <w:rFonts w:eastAsia="MS Mincho"/>
        </w:rPr>
        <w:tab/>
        <w:t>Dealing with hate speech should have started with due diligence at the product development stage. Unfortunately, it seems likely that few if any major internet companies have conducted rights-oriented product review related to hate speech; if so, it has not been public.</w:t>
      </w:r>
      <w:r w:rsidR="00B73781" w:rsidRPr="002138E6">
        <w:rPr>
          <w:rFonts w:eastAsia="MS Mincho"/>
          <w:b/>
          <w:bCs/>
        </w:rPr>
        <w:t xml:space="preserve"> </w:t>
      </w:r>
      <w:r w:rsidR="001A4E44" w:rsidRPr="00A06B51">
        <w:rPr>
          <w:rFonts w:eastAsia="MS Mincho"/>
        </w:rPr>
        <w:t xml:space="preserve">However, products in the ICT sector are under constant updating and revising, and thus it is critical for companies to conduct </w:t>
      </w:r>
      <w:r w:rsidR="0009309B">
        <w:rPr>
          <w:rFonts w:eastAsia="MS Mincho"/>
        </w:rPr>
        <w:t xml:space="preserve">regular </w:t>
      </w:r>
      <w:r w:rsidR="001A4E44" w:rsidRPr="00A06B51">
        <w:rPr>
          <w:rFonts w:eastAsia="MS Mincho"/>
        </w:rPr>
        <w:t xml:space="preserve">impact assessments </w:t>
      </w:r>
      <w:r w:rsidR="0009309B">
        <w:rPr>
          <w:rFonts w:eastAsia="MS Mincho"/>
        </w:rPr>
        <w:t xml:space="preserve">and reassessments </w:t>
      </w:r>
      <w:r w:rsidR="001A4E44" w:rsidRPr="00A06B51">
        <w:rPr>
          <w:rFonts w:eastAsia="MS Mincho"/>
        </w:rPr>
        <w:t xml:space="preserve">in order to determine how their products </w:t>
      </w:r>
      <w:r w:rsidR="00B83B21">
        <w:rPr>
          <w:rFonts w:eastAsia="MS Mincho"/>
        </w:rPr>
        <w:t>infringe upon</w:t>
      </w:r>
      <w:r w:rsidR="001A4E44" w:rsidRPr="00A06B51">
        <w:rPr>
          <w:rFonts w:eastAsia="MS Mincho"/>
        </w:rPr>
        <w:t xml:space="preserve"> the enjoyment of human rights. Under the</w:t>
      </w:r>
      <w:r w:rsidR="0009309B">
        <w:rPr>
          <w:rFonts w:eastAsia="MS Mincho"/>
        </w:rPr>
        <w:t xml:space="preserve"> UN</w:t>
      </w:r>
      <w:r w:rsidR="001A4E44" w:rsidRPr="00A06B51">
        <w:rPr>
          <w:rFonts w:eastAsia="MS Mincho"/>
        </w:rPr>
        <w:t xml:space="preserve"> Guiding Principles, businesses should (among other things) have an ongoing process to determine how hate speech impacts human rights on their platforms (Principle 17)</w:t>
      </w:r>
      <w:r w:rsidR="00B83B21">
        <w:rPr>
          <w:rFonts w:eastAsia="MS Mincho"/>
        </w:rPr>
        <w:t>, including through a platform’s own algorithms</w:t>
      </w:r>
      <w:r w:rsidR="0009309B">
        <w:rPr>
          <w:rStyle w:val="FootnoteReference"/>
          <w:rFonts w:eastAsia="MS Mincho"/>
        </w:rPr>
        <w:footnoteReference w:id="74"/>
      </w:r>
      <w:r w:rsidR="0009309B">
        <w:rPr>
          <w:rFonts w:eastAsia="MS Mincho"/>
        </w:rPr>
        <w:t>.</w:t>
      </w:r>
      <w:r w:rsidR="00FD0BE0">
        <w:rPr>
          <w:rFonts w:eastAsia="MS Mincho"/>
        </w:rPr>
        <w:t>T</w:t>
      </w:r>
      <w:r w:rsidR="001A4E44" w:rsidRPr="00A06B51">
        <w:rPr>
          <w:rFonts w:eastAsia="MS Mincho"/>
        </w:rPr>
        <w:t xml:space="preserve">hey should draw on internal and independent human rights expertise, including “meaningful consultation with potentially affected groups and other relevant stakeholders” (Principle 18). They should regularly evaluate the effectiveness of their approaches to human rights harms (Principle 20). </w:t>
      </w:r>
    </w:p>
    <w:p w14:paraId="59FBF221" w14:textId="2C5FB2D3" w:rsidR="00B5042E" w:rsidRDefault="003D5203" w:rsidP="00B5042E">
      <w:pPr>
        <w:pStyle w:val="SingleTxtG"/>
        <w:rPr>
          <w:rFonts w:eastAsia="MS Mincho"/>
        </w:rPr>
      </w:pPr>
      <w:r>
        <w:rPr>
          <w:rFonts w:eastAsia="MS Mincho"/>
        </w:rPr>
        <w:t>4</w:t>
      </w:r>
      <w:r w:rsidR="00250B4D">
        <w:rPr>
          <w:rFonts w:eastAsia="MS Mincho"/>
        </w:rPr>
        <w:t>5</w:t>
      </w:r>
      <w:r w:rsidR="00B5042E">
        <w:rPr>
          <w:rFonts w:eastAsia="MS Mincho"/>
        </w:rPr>
        <w:t>.</w:t>
      </w:r>
      <w:r w:rsidR="00B5042E">
        <w:rPr>
          <w:rFonts w:eastAsia="MS Mincho"/>
        </w:rPr>
        <w:tab/>
        <w:t xml:space="preserve">The lack of transparency is </w:t>
      </w:r>
      <w:r w:rsidR="00B5042E" w:rsidRPr="00A06B51">
        <w:rPr>
          <w:rFonts w:eastAsia="MS Mincho"/>
        </w:rPr>
        <w:t xml:space="preserve">a major flaw in all the companies’ content moderation processes. </w:t>
      </w:r>
      <w:r w:rsidR="001A4E44" w:rsidRPr="00A06B51">
        <w:rPr>
          <w:rFonts w:eastAsia="MS Mincho"/>
        </w:rPr>
        <w:t>There is a significant barrier to external review (academic, legal, other) of hate speech policies as required under Principle 21: while the rules are public, the details of their implementation, at aggregate and granular levels, are nearly non-existent. Finally, the companies must also train their content policy teams, general counsel, and especially content moderators in the field, those conducting the actual work of restriction. (Principle 16, commentary) The training should identify the norms of human rights law that their content moderati</w:t>
      </w:r>
      <w:r w:rsidR="00A06B51">
        <w:rPr>
          <w:rFonts w:eastAsia="MS Mincho"/>
        </w:rPr>
        <w:t>on aims to protect and promote.</w:t>
      </w:r>
      <w:r w:rsidR="00B83B21">
        <w:rPr>
          <w:rFonts w:eastAsia="MS Mincho"/>
        </w:rPr>
        <w:t xml:space="preserve"> In particular, companies should assess whether their hate speech rules infringe on freedom of expression by assessing the legality, necessity and legitimacy principles identified above.</w:t>
      </w:r>
      <w:r w:rsidR="003E0134">
        <w:rPr>
          <w:rFonts w:eastAsia="MS Mincho"/>
        </w:rPr>
        <w:t xml:space="preserve"> </w:t>
      </w:r>
    </w:p>
    <w:p w14:paraId="6500F3B0" w14:textId="77777777" w:rsidR="001A4E44" w:rsidRPr="00A06B51" w:rsidRDefault="00A06B51" w:rsidP="00A06B51">
      <w:pPr>
        <w:pStyle w:val="H23G"/>
        <w:rPr>
          <w:rFonts w:eastAsia="MS Mincho"/>
        </w:rPr>
      </w:pPr>
      <w:r>
        <w:rPr>
          <w:rFonts w:eastAsia="MS Mincho"/>
        </w:rPr>
        <w:tab/>
      </w:r>
      <w:r>
        <w:rPr>
          <w:rFonts w:eastAsia="MS Mincho"/>
        </w:rPr>
        <w:tab/>
        <w:t>The legality standard</w:t>
      </w:r>
    </w:p>
    <w:p w14:paraId="70919CDF" w14:textId="49B77E7F" w:rsidR="00A06B51" w:rsidRDefault="003D5203" w:rsidP="00A06B51">
      <w:pPr>
        <w:pStyle w:val="SingleTxtG"/>
        <w:rPr>
          <w:rFonts w:eastAsia="MS Mincho"/>
        </w:rPr>
      </w:pPr>
      <w:r>
        <w:rPr>
          <w:rFonts w:eastAsia="MS Mincho"/>
        </w:rPr>
        <w:t>4</w:t>
      </w:r>
      <w:r w:rsidR="00250B4D">
        <w:rPr>
          <w:rFonts w:eastAsia="MS Mincho"/>
        </w:rPr>
        <w:t>6</w:t>
      </w:r>
      <w:r w:rsidR="001A4E44" w:rsidRPr="00A06B51">
        <w:rPr>
          <w:rFonts w:eastAsia="MS Mincho"/>
        </w:rPr>
        <w:t>.</w:t>
      </w:r>
      <w:r w:rsidR="001A4E44" w:rsidRPr="00A06B51">
        <w:rPr>
          <w:rFonts w:eastAsia="MS Mincho"/>
        </w:rPr>
        <w:tab/>
        <w:t xml:space="preserve">Company definitions of hate speech are generally difficult to understand, though companies vary on this score. Some are non-existent, and others are vague. For instance, </w:t>
      </w:r>
      <w:hyperlink r:id="rId13" w:history="1">
        <w:r w:rsidR="001A4E44" w:rsidRPr="00A06B51">
          <w:rPr>
            <w:rStyle w:val="Hyperlink"/>
            <w:rFonts w:eastAsia="MS Mincho"/>
          </w:rPr>
          <w:t>Russia’s VK</w:t>
        </w:r>
      </w:hyperlink>
      <w:r w:rsidR="001A4E44" w:rsidRPr="00A06B51">
        <w:rPr>
          <w:rFonts w:eastAsia="MS Mincho"/>
        </w:rPr>
        <w:t xml:space="preserve"> prohibits content that “propagandizes and/or contributes to racial, religious, ethnic hatred or hostility, propagandizes fascism or racial superiority” or “contains extremist materials”. China’s </w:t>
      </w:r>
      <w:hyperlink r:id="rId14" w:history="1">
        <w:r w:rsidR="001A4E44" w:rsidRPr="00A06B51">
          <w:rPr>
            <w:rStyle w:val="Hyperlink"/>
            <w:rFonts w:eastAsia="MS Mincho"/>
          </w:rPr>
          <w:t>WeChat</w:t>
        </w:r>
      </w:hyperlink>
      <w:r w:rsidR="001A4E44" w:rsidRPr="00A06B51">
        <w:rPr>
          <w:rFonts w:eastAsia="MS Mincho"/>
        </w:rPr>
        <w:t xml:space="preserve"> prohibits “content . . . which in fact or in our reasonable opinion . . . is hateful, harassing, abusive, racially or ethnically offensive, defamatory, humiliating to other people (publicly or otherwise), threatening, profane or otherwise objectionable.” Others are dense and detailed, with serious efforts to spell out exactly the kind of content that constitutes hate speech subject to restriction, and yet the density paradoxically can create confusion and a lack of clarity. The policies of the three dominant American companies – </w:t>
      </w:r>
      <w:hyperlink r:id="rId15" w:history="1">
        <w:r w:rsidR="001A4E44" w:rsidRPr="00A06B51">
          <w:rPr>
            <w:rStyle w:val="Hyperlink"/>
            <w:rFonts w:eastAsia="MS Mincho"/>
          </w:rPr>
          <w:t>YouTube</w:t>
        </w:r>
      </w:hyperlink>
      <w:r w:rsidR="001A4E44" w:rsidRPr="00A06B51">
        <w:rPr>
          <w:rFonts w:eastAsia="MS Mincho"/>
        </w:rPr>
        <w:t xml:space="preserve">, </w:t>
      </w:r>
      <w:hyperlink r:id="rId16" w:history="1">
        <w:r w:rsidR="001A4E44" w:rsidRPr="00A06B51">
          <w:rPr>
            <w:rStyle w:val="Hyperlink"/>
            <w:rFonts w:eastAsia="MS Mincho"/>
          </w:rPr>
          <w:t>Facebook</w:t>
        </w:r>
      </w:hyperlink>
      <w:r w:rsidR="001A4E44" w:rsidRPr="00A06B51">
        <w:rPr>
          <w:rFonts w:eastAsia="MS Mincho"/>
        </w:rPr>
        <w:t xml:space="preserve"> and </w:t>
      </w:r>
      <w:hyperlink r:id="rId17" w:history="1">
        <w:r w:rsidR="001A4E44" w:rsidRPr="00A06B51">
          <w:rPr>
            <w:rStyle w:val="Hyperlink"/>
            <w:rFonts w:eastAsia="MS Mincho"/>
          </w:rPr>
          <w:t>Twitter</w:t>
        </w:r>
      </w:hyperlink>
      <w:r w:rsidR="001A4E44" w:rsidRPr="00A06B51">
        <w:rPr>
          <w:rFonts w:eastAsia="MS Mincho"/>
        </w:rPr>
        <w:t xml:space="preserve"> – have evolved and improved over many years, each layering their policies in ways that have converged to a recognizably similar set of rules. However, while they use different terms to signal restriction of content that “promotes” violence or hatred against specific protected groups, they do not clarify how they define promotion, incitement, targeting groups, and so forth. </w:t>
      </w:r>
      <w:r w:rsidR="00056E0A">
        <w:rPr>
          <w:rFonts w:eastAsia="MS Mincho"/>
        </w:rPr>
        <w:t>Among other issues, s</w:t>
      </w:r>
      <w:r w:rsidR="00056E0A" w:rsidRPr="00A06B51">
        <w:rPr>
          <w:rFonts w:eastAsia="MS Mincho"/>
        </w:rPr>
        <w:t xml:space="preserve">ubjects </w:t>
      </w:r>
      <w:r w:rsidR="00056E0A">
        <w:rPr>
          <w:rFonts w:eastAsia="MS Mincho"/>
        </w:rPr>
        <w:t>such as</w:t>
      </w:r>
      <w:r w:rsidR="00056E0A" w:rsidRPr="00A06B51">
        <w:rPr>
          <w:rFonts w:eastAsia="MS Mincho"/>
        </w:rPr>
        <w:t xml:space="preserve"> </w:t>
      </w:r>
      <w:r w:rsidR="001A4E44" w:rsidRPr="00A06B51">
        <w:rPr>
          <w:rFonts w:eastAsia="MS Mincho"/>
        </w:rPr>
        <w:t>intent and result are difficul</w:t>
      </w:r>
      <w:r w:rsidR="00A06B51">
        <w:rPr>
          <w:rFonts w:eastAsia="MS Mincho"/>
        </w:rPr>
        <w:t>t to identify in the policies.</w:t>
      </w:r>
      <w:r w:rsidR="00056E0A">
        <w:rPr>
          <w:rStyle w:val="FootnoteReference"/>
          <w:rFonts w:eastAsia="MS Mincho"/>
        </w:rPr>
        <w:footnoteReference w:id="75"/>
      </w:r>
      <w:r w:rsidR="00A06B51">
        <w:rPr>
          <w:rFonts w:eastAsia="MS Mincho"/>
        </w:rPr>
        <w:t xml:space="preserve"> </w:t>
      </w:r>
    </w:p>
    <w:p w14:paraId="1D3C1378" w14:textId="27FD81E2" w:rsidR="001A4E44" w:rsidRPr="00A06B51" w:rsidRDefault="003D5203" w:rsidP="00A06B51">
      <w:pPr>
        <w:pStyle w:val="SingleTxtG"/>
        <w:rPr>
          <w:rFonts w:eastAsia="MS Mincho"/>
        </w:rPr>
      </w:pPr>
      <w:r>
        <w:rPr>
          <w:rFonts w:eastAsia="MS Mincho"/>
        </w:rPr>
        <w:t>4</w:t>
      </w:r>
      <w:r w:rsidR="00250B4D">
        <w:rPr>
          <w:rFonts w:eastAsia="MS Mincho"/>
        </w:rPr>
        <w:t>7</w:t>
      </w:r>
      <w:r w:rsidR="001A4E44" w:rsidRPr="00A06B51">
        <w:rPr>
          <w:rFonts w:eastAsia="MS Mincho"/>
        </w:rPr>
        <w:t>.</w:t>
      </w:r>
      <w:r w:rsidR="001A4E44" w:rsidRPr="00A06B51">
        <w:rPr>
          <w:rFonts w:eastAsia="MS Mincho"/>
        </w:rPr>
        <w:tab/>
        <w:t xml:space="preserve"> The companies should review their policies, or adopt new ones, with the legality test in mind. A human rights compliant framework on online hate speech would draw from the definitional guidance above and pr</w:t>
      </w:r>
      <w:r w:rsidR="00A06B51">
        <w:rPr>
          <w:rFonts w:eastAsia="MS Mincho"/>
        </w:rPr>
        <w:t>ovide answers to the following:</w:t>
      </w:r>
    </w:p>
    <w:p w14:paraId="24C3B132" w14:textId="73E0E672" w:rsidR="001A4E44" w:rsidRPr="00A06B51" w:rsidRDefault="001A4E44" w:rsidP="00F15331">
      <w:pPr>
        <w:pStyle w:val="SingleTxtG"/>
        <w:numPr>
          <w:ilvl w:val="0"/>
          <w:numId w:val="25"/>
        </w:numPr>
        <w:ind w:left="1134" w:firstLine="567"/>
        <w:rPr>
          <w:rFonts w:eastAsia="MS Mincho"/>
        </w:rPr>
      </w:pPr>
      <w:r w:rsidRPr="002138E6">
        <w:rPr>
          <w:rFonts w:eastAsia="MS Mincho"/>
          <w:i/>
          <w:iCs/>
        </w:rPr>
        <w:t>Wh</w:t>
      </w:r>
      <w:r w:rsidR="00C3199B">
        <w:rPr>
          <w:rFonts w:eastAsia="MS Mincho"/>
          <w:i/>
          <w:iCs/>
        </w:rPr>
        <w:t>at</w:t>
      </w:r>
      <w:r w:rsidRPr="002138E6">
        <w:rPr>
          <w:rFonts w:eastAsia="MS Mincho"/>
          <w:i/>
          <w:iCs/>
        </w:rPr>
        <w:t xml:space="preserve"> are protected persons/groups?</w:t>
      </w:r>
      <w:r w:rsidRPr="00A06B51">
        <w:rPr>
          <w:rFonts w:eastAsia="MS Mincho"/>
        </w:rPr>
        <w:t xml:space="preserve"> Human rights law has identified specific groups </w:t>
      </w:r>
      <w:r w:rsidR="00B5042E">
        <w:rPr>
          <w:rFonts w:eastAsia="MS Mincho"/>
        </w:rPr>
        <w:t>requiring</w:t>
      </w:r>
      <w:r w:rsidRPr="00A06B51">
        <w:rPr>
          <w:rFonts w:eastAsia="MS Mincho"/>
        </w:rPr>
        <w:t xml:space="preserve"> </w:t>
      </w:r>
      <w:r w:rsidR="00B5042E">
        <w:rPr>
          <w:rFonts w:eastAsia="MS Mincho"/>
        </w:rPr>
        <w:t xml:space="preserve">express </w:t>
      </w:r>
      <w:r w:rsidRPr="00A06B51">
        <w:rPr>
          <w:rFonts w:eastAsia="MS Mincho"/>
        </w:rPr>
        <w:t xml:space="preserve">protection. </w:t>
      </w:r>
      <w:r w:rsidR="00B5042E">
        <w:rPr>
          <w:rFonts w:eastAsia="MS Mincho"/>
        </w:rPr>
        <w:t>C</w:t>
      </w:r>
      <w:r w:rsidRPr="00A06B51">
        <w:rPr>
          <w:rFonts w:eastAsia="MS Mincho"/>
        </w:rPr>
        <w:t xml:space="preserve">ompanies in the ICT sector should aim to apply the broadest possible protection in keeping with </w:t>
      </w:r>
      <w:r w:rsidR="00B5042E">
        <w:rPr>
          <w:rFonts w:eastAsia="MS Mincho"/>
        </w:rPr>
        <w:t>evolving</w:t>
      </w:r>
      <w:r w:rsidRPr="00A06B51">
        <w:rPr>
          <w:rFonts w:eastAsia="MS Mincho"/>
        </w:rPr>
        <w:t xml:space="preserve"> laws and normative understandings. The companies should be clear that they would not restrict “promotion…of a positive sense of group identity” particularly in the context of historically disadvantaged groups (while acknowledging that some expressions of group identity, such as white supremacy, may </w:t>
      </w:r>
      <w:r w:rsidR="000526C6">
        <w:rPr>
          <w:rFonts w:eastAsia="MS Mincho"/>
        </w:rPr>
        <w:t>in fact</w:t>
      </w:r>
      <w:r w:rsidRPr="00A06B51">
        <w:rPr>
          <w:rFonts w:eastAsia="MS Mincho"/>
        </w:rPr>
        <w:t xml:space="preserve"> constitute hateful conte</w:t>
      </w:r>
      <w:r w:rsidR="00A06B51">
        <w:rPr>
          <w:rFonts w:eastAsia="MS Mincho"/>
        </w:rPr>
        <w:t>nt).</w:t>
      </w:r>
      <w:r w:rsidR="00B5042E">
        <w:rPr>
          <w:rStyle w:val="FootnoteReference"/>
          <w:rFonts w:eastAsia="MS Mincho"/>
        </w:rPr>
        <w:footnoteReference w:id="76"/>
      </w:r>
    </w:p>
    <w:p w14:paraId="02719366" w14:textId="7F8966C8" w:rsidR="001A4E44" w:rsidRPr="00A06B51" w:rsidRDefault="001A4E44" w:rsidP="00F15331">
      <w:pPr>
        <w:pStyle w:val="SingleTxtG"/>
        <w:numPr>
          <w:ilvl w:val="0"/>
          <w:numId w:val="25"/>
        </w:numPr>
        <w:ind w:left="1134" w:firstLine="567"/>
        <w:rPr>
          <w:rFonts w:eastAsia="MS Mincho"/>
        </w:rPr>
      </w:pPr>
      <w:r w:rsidRPr="002138E6">
        <w:rPr>
          <w:rFonts w:eastAsia="MS Mincho"/>
          <w:i/>
          <w:iCs/>
        </w:rPr>
        <w:t xml:space="preserve">What kind of hate speech constitutes a violation of </w:t>
      </w:r>
      <w:r w:rsidR="00B73781" w:rsidRPr="002138E6">
        <w:rPr>
          <w:rFonts w:eastAsia="MS Mincho"/>
          <w:i/>
          <w:iCs/>
        </w:rPr>
        <w:t xml:space="preserve">company </w:t>
      </w:r>
      <w:r w:rsidRPr="002138E6">
        <w:rPr>
          <w:rFonts w:eastAsia="MS Mincho"/>
          <w:i/>
          <w:iCs/>
        </w:rPr>
        <w:t>rules?</w:t>
      </w:r>
      <w:r w:rsidRPr="00A06B51">
        <w:rPr>
          <w:rFonts w:eastAsia="MS Mincho"/>
        </w:rPr>
        <w:t xml:space="preserve"> Companies should develop </w:t>
      </w:r>
      <w:r w:rsidR="000526C6">
        <w:rPr>
          <w:rFonts w:eastAsia="MS Mincho"/>
        </w:rPr>
        <w:t>‘hate speech’</w:t>
      </w:r>
      <w:r w:rsidRPr="00A06B51">
        <w:rPr>
          <w:rFonts w:eastAsia="MS Mincho"/>
        </w:rPr>
        <w:t xml:space="preserve"> policies by considering what kinds of interference users may face on the platform. Human rights law provides </w:t>
      </w:r>
      <w:r w:rsidR="000526C6">
        <w:rPr>
          <w:rFonts w:eastAsia="MS Mincho"/>
        </w:rPr>
        <w:t>guidance, particularly by noting the legitimacy of restrictions to protect the rights of others</w:t>
      </w:r>
      <w:r w:rsidRPr="00A06B51">
        <w:rPr>
          <w:rFonts w:eastAsia="MS Mincho"/>
        </w:rPr>
        <w:t>.</w:t>
      </w:r>
      <w:r w:rsidR="000526C6">
        <w:rPr>
          <w:rFonts w:eastAsia="MS Mincho"/>
        </w:rPr>
        <w:t xml:space="preserve"> For instance, companies could consider how hateful online expression can incite violence that threatens life, infringes on others’ freedom of expression and access to information, interferes with privacy or the right to vote, and so forth. The companies are not in the position of governments to assess threats to national security and public order, and hate speech restrictions on those grounds should be based not on company assessment but legal orders from a State, themselves subject to Article 19(3)</w:t>
      </w:r>
      <w:r w:rsidR="00C3199B">
        <w:rPr>
          <w:rFonts w:eastAsia="MS Mincho"/>
        </w:rPr>
        <w:t>’s strict</w:t>
      </w:r>
      <w:r w:rsidR="000526C6">
        <w:rPr>
          <w:rFonts w:eastAsia="MS Mincho"/>
        </w:rPr>
        <w:t xml:space="preserve"> conditions. </w:t>
      </w:r>
    </w:p>
    <w:p w14:paraId="5A30676D" w14:textId="130DE962" w:rsidR="001A4E44" w:rsidRPr="00A06B51" w:rsidRDefault="001A4E44" w:rsidP="00F15331">
      <w:pPr>
        <w:pStyle w:val="SingleTxtG"/>
        <w:numPr>
          <w:ilvl w:val="0"/>
          <w:numId w:val="25"/>
        </w:numPr>
        <w:ind w:left="1134" w:firstLine="567"/>
        <w:rPr>
          <w:rFonts w:eastAsia="MS Mincho"/>
        </w:rPr>
      </w:pPr>
      <w:r w:rsidRPr="002138E6">
        <w:rPr>
          <w:rFonts w:eastAsia="MS Mincho"/>
          <w:i/>
          <w:iCs/>
        </w:rPr>
        <w:t>Is there specific ‘hate speech’ content that the companies restrict?</w:t>
      </w:r>
      <w:r w:rsidRPr="00A06B51">
        <w:rPr>
          <w:rFonts w:eastAsia="MS Mincho"/>
        </w:rPr>
        <w:t xml:space="preserve"> Companies should indicate </w:t>
      </w:r>
      <w:r w:rsidR="000526C6">
        <w:rPr>
          <w:rFonts w:eastAsia="MS Mincho"/>
        </w:rPr>
        <w:t>how they prohibit, if they do, the kind of expression covered by ICCPR Article 20(2) and ICERD Article 4. If so</w:t>
      </w:r>
      <w:r w:rsidRPr="00A06B51">
        <w:rPr>
          <w:rFonts w:eastAsia="MS Mincho"/>
        </w:rPr>
        <w:t xml:space="preserve">, they should draw from </w:t>
      </w:r>
      <w:r w:rsidR="00056E0A">
        <w:rPr>
          <w:rFonts w:eastAsia="MS Mincho"/>
        </w:rPr>
        <w:t>the instruments identified above</w:t>
      </w:r>
      <w:r w:rsidRPr="00A06B51">
        <w:rPr>
          <w:rFonts w:eastAsia="MS Mincho"/>
        </w:rPr>
        <w:t xml:space="preserve"> in defining it.</w:t>
      </w:r>
      <w:r w:rsidR="00B73781">
        <w:rPr>
          <w:rFonts w:eastAsia="MS Mincho"/>
        </w:rPr>
        <w:t xml:space="preserve"> </w:t>
      </w:r>
      <w:r w:rsidR="000526C6">
        <w:rPr>
          <w:rFonts w:eastAsia="MS Mincho"/>
        </w:rPr>
        <w:t>But incitement is only one part of the problematic content that may constitute ‘hate speech’. Beyond it, companies should identify what that category includes, much as the evolving policies of some companies have done. They should do more than simply identify; they should also show, through the development of a kind of case law, exactly how their categories play out in the actual enforcement of the rules.</w:t>
      </w:r>
      <w:r w:rsidR="000526C6">
        <w:rPr>
          <w:rStyle w:val="FootnoteReference"/>
          <w:rFonts w:eastAsia="MS Mincho"/>
        </w:rPr>
        <w:footnoteReference w:id="77"/>
      </w:r>
    </w:p>
    <w:p w14:paraId="0DFCA35C" w14:textId="401CD170" w:rsidR="001A4E44" w:rsidRPr="00A06B51" w:rsidRDefault="001A4E44" w:rsidP="00F15331">
      <w:pPr>
        <w:pStyle w:val="SingleTxtG"/>
        <w:numPr>
          <w:ilvl w:val="0"/>
          <w:numId w:val="25"/>
        </w:numPr>
        <w:ind w:left="1134" w:firstLine="567"/>
        <w:rPr>
          <w:rFonts w:eastAsia="MS Mincho"/>
        </w:rPr>
      </w:pPr>
      <w:r w:rsidRPr="002138E6">
        <w:rPr>
          <w:rFonts w:eastAsia="MS Mincho"/>
          <w:i/>
          <w:iCs/>
        </w:rPr>
        <w:t>Are there categories of users for whom the hate speech rules do not apply?</w:t>
      </w:r>
      <w:r w:rsidRPr="00A06B51">
        <w:rPr>
          <w:rFonts w:eastAsia="MS Mincho"/>
        </w:rPr>
        <w:t xml:space="preserve"> International standards are clear that journalists and others reporting on hate speech should be protected against content restrictions or account actions. Moreover, an application of the context standards of Rabat would lead to the protection of such content. Politicians, government and military officials, and other public figures are another matter. Given their prominence and potential leadership role in inciting behaviour, they should be bound by the same hate speech rules that apply under international standards. </w:t>
      </w:r>
      <w:r w:rsidR="000526C6">
        <w:rPr>
          <w:rFonts w:eastAsia="MS Mincho"/>
        </w:rPr>
        <w:t>In the context of hate speech policies, by</w:t>
      </w:r>
      <w:r w:rsidRPr="00A06B51">
        <w:rPr>
          <w:rFonts w:eastAsia="MS Mincho"/>
        </w:rPr>
        <w:t xml:space="preserve"> default public figures should abide by the same rules as all users. Evaluation of context may lead to a decision of exception in some instances, where the content must be protected as, for instance, political speech. But incitement is almost certainly more harmful when uttered by leaders than by other users, and that factor should be part of the e</w:t>
      </w:r>
      <w:r w:rsidR="00A06B51">
        <w:rPr>
          <w:rFonts w:eastAsia="MS Mincho"/>
        </w:rPr>
        <w:t xml:space="preserve">valuation of platform content. </w:t>
      </w:r>
    </w:p>
    <w:p w14:paraId="331B15B8" w14:textId="219044C2" w:rsidR="000526C6" w:rsidRPr="000526C6" w:rsidRDefault="003D5203" w:rsidP="000526C6">
      <w:pPr>
        <w:pStyle w:val="SingleTxtG"/>
        <w:rPr>
          <w:rFonts w:eastAsia="MS Mincho"/>
        </w:rPr>
      </w:pPr>
      <w:r>
        <w:rPr>
          <w:rFonts w:eastAsia="MS Mincho"/>
        </w:rPr>
        <w:t>4</w:t>
      </w:r>
      <w:r w:rsidR="00250B4D">
        <w:rPr>
          <w:rFonts w:eastAsia="MS Mincho"/>
        </w:rPr>
        <w:t>8</w:t>
      </w:r>
      <w:r w:rsidR="000526C6">
        <w:rPr>
          <w:rFonts w:eastAsia="MS Mincho"/>
        </w:rPr>
        <w:t>.</w:t>
      </w:r>
      <w:r w:rsidR="000526C6">
        <w:rPr>
          <w:rFonts w:eastAsia="MS Mincho"/>
        </w:rPr>
        <w:tab/>
        <w:t xml:space="preserve">Where </w:t>
      </w:r>
      <w:r w:rsidR="00A65176">
        <w:rPr>
          <w:rFonts w:eastAsia="MS Mincho"/>
        </w:rPr>
        <w:t>company rules</w:t>
      </w:r>
      <w:r w:rsidR="000526C6">
        <w:rPr>
          <w:rFonts w:eastAsia="MS Mincho"/>
        </w:rPr>
        <w:t xml:space="preserve"> vary</w:t>
      </w:r>
      <w:r w:rsidR="00A65176">
        <w:rPr>
          <w:rFonts w:eastAsia="MS Mincho"/>
        </w:rPr>
        <w:t xml:space="preserve"> from international standards</w:t>
      </w:r>
      <w:r w:rsidR="000526C6">
        <w:rPr>
          <w:rFonts w:eastAsia="MS Mincho"/>
        </w:rPr>
        <w:t xml:space="preserve">, the companies should give a reasoned explanation of the policy difference in advance, in a way that articulates the variation. For instance, were a company to decide to prohibit </w:t>
      </w:r>
      <w:r w:rsidR="00A65176">
        <w:rPr>
          <w:rFonts w:eastAsia="MS Mincho"/>
        </w:rPr>
        <w:t>the use of a derogatory term to refer to a national or racial or religious group – which, on its own, would not be subject to restriction under human rights law – it should clarify its decision in accordance with human rights law.</w:t>
      </w:r>
      <w:r w:rsidR="000526C6">
        <w:rPr>
          <w:rFonts w:eastAsia="MS Mincho"/>
        </w:rPr>
        <w:t xml:space="preserve"> </w:t>
      </w:r>
      <w:r w:rsidR="00CB5C4C">
        <w:rPr>
          <w:rFonts w:eastAsia="MS Mincho"/>
        </w:rPr>
        <w:t>Moreover, companies should be especially alert to the abuse of their platforms through disinformation that constitutes hate speech; particularly in environments of rising tensions, the companies should clearly state their policies</w:t>
      </w:r>
      <w:r w:rsidR="00CD6544">
        <w:rPr>
          <w:rFonts w:eastAsia="MS Mincho"/>
        </w:rPr>
        <w:t xml:space="preserve">, develop comprehensive understanding </w:t>
      </w:r>
      <w:r w:rsidR="00C3199B">
        <w:rPr>
          <w:rFonts w:eastAsia="MS Mincho"/>
        </w:rPr>
        <w:t>through</w:t>
      </w:r>
      <w:r w:rsidR="00CD6544">
        <w:rPr>
          <w:rFonts w:eastAsia="MS Mincho"/>
        </w:rPr>
        <w:t xml:space="preserve"> community</w:t>
      </w:r>
      <w:r w:rsidR="00C3199B">
        <w:rPr>
          <w:rFonts w:eastAsia="MS Mincho"/>
        </w:rPr>
        <w:t xml:space="preserve"> and expert</w:t>
      </w:r>
      <w:r w:rsidR="00CD6544">
        <w:rPr>
          <w:rFonts w:eastAsia="MS Mincho"/>
        </w:rPr>
        <w:t xml:space="preserve"> engagement,</w:t>
      </w:r>
      <w:r w:rsidR="00CB5C4C">
        <w:rPr>
          <w:rFonts w:eastAsia="MS Mincho"/>
        </w:rPr>
        <w:t xml:space="preserve"> and firmly counter such incitement. International human rights standards can guide such policies, while the virality of hateful content in such contexts may require rapid reaction and early warning </w:t>
      </w:r>
      <w:r w:rsidR="00CD6544">
        <w:rPr>
          <w:rFonts w:eastAsia="MS Mincho"/>
        </w:rPr>
        <w:t>protect fundamental rights</w:t>
      </w:r>
      <w:r w:rsidR="00CB5C4C">
        <w:rPr>
          <w:rFonts w:eastAsia="MS Mincho"/>
        </w:rPr>
        <w:t>.</w:t>
      </w:r>
    </w:p>
    <w:p w14:paraId="3013B3F9" w14:textId="4D167693" w:rsidR="001A4E44" w:rsidRPr="00A06B51" w:rsidRDefault="003D5203" w:rsidP="00A06B51">
      <w:pPr>
        <w:pStyle w:val="SingleTxtG"/>
        <w:rPr>
          <w:rFonts w:eastAsia="MS Mincho"/>
        </w:rPr>
      </w:pPr>
      <w:r>
        <w:rPr>
          <w:rFonts w:eastAsia="MS Mincho"/>
        </w:rPr>
        <w:t>4</w:t>
      </w:r>
      <w:r w:rsidR="00250B4D">
        <w:rPr>
          <w:rFonts w:eastAsia="MS Mincho"/>
        </w:rPr>
        <w:t>9</w:t>
      </w:r>
      <w:r w:rsidR="001A4E44" w:rsidRPr="00A06B51">
        <w:rPr>
          <w:rFonts w:eastAsia="MS Mincho"/>
        </w:rPr>
        <w:t>.</w:t>
      </w:r>
      <w:r w:rsidR="001A4E44" w:rsidRPr="00A06B51">
        <w:rPr>
          <w:rFonts w:eastAsia="MS Mincho"/>
        </w:rPr>
        <w:tab/>
        <w:t>The companies should define how they identify when users violate the hate speech rules. Presently, it is difficult to know the circumstances under which the rules may be violated.</w:t>
      </w:r>
      <w:r w:rsidR="00A65176">
        <w:rPr>
          <w:rFonts w:eastAsia="MS Mincho"/>
        </w:rPr>
        <w:t xml:space="preserve"> There seems to be very significant inconsistency in the enforcement of rules.</w:t>
      </w:r>
      <w:r w:rsidR="001A4E44" w:rsidRPr="00A06B51">
        <w:rPr>
          <w:rFonts w:eastAsia="MS Mincho"/>
        </w:rPr>
        <w:t xml:space="preserve"> The opacity of enforcement is part of the problem. The Rabat Plan of Action identified a set of factors applicable to the criminalization of incitement under Article 20(2), but those factors should have weight in the context of company actions against speech as well. They need not be applied in the same way that they would in a criminal context. However, they offer a valuable framework for examining when the specifically defined content – the posts, the words or images that comprise th</w:t>
      </w:r>
      <w:r w:rsidR="00DE70AE">
        <w:rPr>
          <w:rFonts w:eastAsia="MS Mincho"/>
        </w:rPr>
        <w:t xml:space="preserve">e post – merits a restriction. </w:t>
      </w:r>
    </w:p>
    <w:p w14:paraId="7EEC3018" w14:textId="317F02D5" w:rsidR="001A4E44" w:rsidRPr="00A06B51" w:rsidRDefault="00250B4D" w:rsidP="00A06B51">
      <w:pPr>
        <w:pStyle w:val="SingleTxtG"/>
        <w:rPr>
          <w:rFonts w:eastAsia="MS Mincho"/>
        </w:rPr>
      </w:pPr>
      <w:r>
        <w:rPr>
          <w:rFonts w:eastAsia="MS Mincho"/>
        </w:rPr>
        <w:t>50</w:t>
      </w:r>
      <w:r w:rsidR="001A4E44" w:rsidRPr="00A06B51">
        <w:rPr>
          <w:rFonts w:eastAsia="MS Mincho"/>
        </w:rPr>
        <w:t>.</w:t>
      </w:r>
      <w:r w:rsidR="001A4E44" w:rsidRPr="00A06B51">
        <w:rPr>
          <w:rFonts w:eastAsia="MS Mincho"/>
        </w:rPr>
        <w:tab/>
        <w:t>Companies may find the kind of detailed contextual analysis to be difficult</w:t>
      </w:r>
      <w:r w:rsidR="0087207D">
        <w:rPr>
          <w:rFonts w:eastAsia="MS Mincho"/>
        </w:rPr>
        <w:t xml:space="preserve"> and resource-intensive</w:t>
      </w:r>
      <w:r w:rsidR="001A4E44" w:rsidRPr="00A06B51">
        <w:rPr>
          <w:rFonts w:eastAsia="MS Mincho"/>
        </w:rPr>
        <w:t>. The largest rely heavily on automation in order to do at least the first-layer work of identifying hate speech, and as a result, they require having rules that fall neatly into one box (ignore) or another (delete). They use the power of AI to drive these systems, but they are notoriously bad at evaluating context.</w:t>
      </w:r>
      <w:r w:rsidR="001A4E44" w:rsidRPr="00AB236F">
        <w:rPr>
          <w:rFonts w:eastAsia="MS Mincho"/>
          <w:sz w:val="18"/>
          <w:szCs w:val="18"/>
          <w:vertAlign w:val="superscript"/>
        </w:rPr>
        <w:footnoteReference w:id="78"/>
      </w:r>
      <w:r w:rsidR="001A4E44" w:rsidRPr="00A06B51">
        <w:rPr>
          <w:rFonts w:eastAsia="MS Mincho"/>
        </w:rPr>
        <w:t xml:space="preserve"> However, if the companies are serious about protecting human rights on their platforms</w:t>
      </w:r>
      <w:r w:rsidR="00056E0A">
        <w:rPr>
          <w:rFonts w:eastAsia="MS Mincho"/>
        </w:rPr>
        <w:t>,</w:t>
      </w:r>
      <w:r w:rsidR="001A4E44" w:rsidRPr="00A06B51">
        <w:rPr>
          <w:rFonts w:eastAsia="MS Mincho"/>
        </w:rPr>
        <w:t xml:space="preserve"> they must ensure that they define the </w:t>
      </w:r>
      <w:r w:rsidR="0087207D">
        <w:rPr>
          <w:rFonts w:eastAsia="MS Mincho"/>
        </w:rPr>
        <w:t>rules</w:t>
      </w:r>
      <w:r w:rsidR="001A4E44" w:rsidRPr="00A06B51">
        <w:rPr>
          <w:rFonts w:eastAsia="MS Mincho"/>
        </w:rPr>
        <w:t xml:space="preserve"> clearly and require human evaluation. Human evaluation, moreover, must be more than an assessment of whether particular words fall into a particular box. It must be based on real learning from the communities where hate speech may be found, people who can </w:t>
      </w:r>
      <w:r w:rsidR="00E9461A">
        <w:rPr>
          <w:rFonts w:eastAsia="MS Mincho"/>
        </w:rPr>
        <w:t>understand the ‘code’</w:t>
      </w:r>
      <w:r w:rsidR="001A4E44" w:rsidRPr="00A06B51">
        <w:rPr>
          <w:rFonts w:eastAsia="MS Mincho"/>
        </w:rPr>
        <w:t xml:space="preserve"> that language sometimes deploys to hide incitement to violence, evaluate the speaker’s intent, consider the nature of the speaker and her audience, evaluate the environment in which hate speech can lead to violent acts. None of these things </w:t>
      </w:r>
      <w:r w:rsidR="00C3199B">
        <w:rPr>
          <w:rFonts w:eastAsia="MS Mincho"/>
        </w:rPr>
        <w:t>is</w:t>
      </w:r>
      <w:r w:rsidR="001A4E44" w:rsidRPr="00A06B51">
        <w:rPr>
          <w:rFonts w:eastAsia="MS Mincho"/>
        </w:rPr>
        <w:t xml:space="preserve"> possible with AI alone, and the definitions and strategies should refl</w:t>
      </w:r>
      <w:r w:rsidR="00DE70AE">
        <w:rPr>
          <w:rFonts w:eastAsia="MS Mincho"/>
        </w:rPr>
        <w:t>ect the nuances of the problem.</w:t>
      </w:r>
      <w:r w:rsidR="0087207D">
        <w:rPr>
          <w:rFonts w:eastAsia="MS Mincho"/>
        </w:rPr>
        <w:t xml:space="preserve"> The largest companies should bear the burden of these resources and share their knowledge and tools widely</w:t>
      </w:r>
      <w:r w:rsidR="00C3199B">
        <w:rPr>
          <w:rFonts w:eastAsia="MS Mincho"/>
        </w:rPr>
        <w:t>, as open source,</w:t>
      </w:r>
      <w:r w:rsidR="0087207D">
        <w:rPr>
          <w:rFonts w:eastAsia="MS Mincho"/>
        </w:rPr>
        <w:t xml:space="preserve"> to ensure that smaller companies, and smaller markets, have access to such technology.</w:t>
      </w:r>
    </w:p>
    <w:p w14:paraId="45FE045A" w14:textId="77777777" w:rsidR="001A4E44" w:rsidRPr="00A06B51" w:rsidRDefault="00DE70AE" w:rsidP="00DE70AE">
      <w:pPr>
        <w:pStyle w:val="H23G"/>
        <w:rPr>
          <w:rFonts w:eastAsia="MS Mincho"/>
        </w:rPr>
      </w:pPr>
      <w:r>
        <w:rPr>
          <w:rFonts w:eastAsia="MS Mincho"/>
        </w:rPr>
        <w:tab/>
      </w:r>
      <w:r>
        <w:rPr>
          <w:rFonts w:eastAsia="MS Mincho"/>
        </w:rPr>
        <w:tab/>
        <w:t>Necessity and proportionality</w:t>
      </w:r>
    </w:p>
    <w:p w14:paraId="3CF9BF72" w14:textId="7DED0B41" w:rsidR="001A4E44" w:rsidRPr="00A06B51" w:rsidRDefault="003D5203" w:rsidP="00DE70AE">
      <w:pPr>
        <w:pStyle w:val="SingleTxtG"/>
        <w:rPr>
          <w:rFonts w:eastAsia="MS Mincho"/>
        </w:rPr>
      </w:pPr>
      <w:r>
        <w:rPr>
          <w:rFonts w:eastAsia="MS Mincho"/>
        </w:rPr>
        <w:t>5</w:t>
      </w:r>
      <w:r w:rsidR="00250B4D">
        <w:rPr>
          <w:rFonts w:eastAsia="MS Mincho"/>
        </w:rPr>
        <w:t>1</w:t>
      </w:r>
      <w:r w:rsidR="001A4E44" w:rsidRPr="00A06B51">
        <w:rPr>
          <w:rFonts w:eastAsia="MS Mincho"/>
        </w:rPr>
        <w:t>.</w:t>
      </w:r>
      <w:r w:rsidR="001A4E44" w:rsidRPr="00A06B51">
        <w:rPr>
          <w:rFonts w:eastAsia="MS Mincho"/>
        </w:rPr>
        <w:tab/>
        <w:t xml:space="preserve">Companies have tools to deal with content in human rights-compliant ways, in some respects a broader range than enjoyed by States. </w:t>
      </w:r>
      <w:r w:rsidR="00DD2857">
        <w:rPr>
          <w:rFonts w:eastAsia="MS Mincho"/>
        </w:rPr>
        <w:t xml:space="preserve">Their range of options enables them to tailor their responses to specific problematic content, according to its severity and other factors. </w:t>
      </w:r>
      <w:r w:rsidR="001A4E44" w:rsidRPr="00A06B51">
        <w:rPr>
          <w:rFonts w:eastAsia="MS Mincho"/>
        </w:rPr>
        <w:t xml:space="preserve">They can delete content, restrict its virality, label its origin, suspend the relevant user, suspend the organization sponsoring the content, develop ratings to highlight a person’s use of prohibited content, temporarily restrict content while a team is reviewing, demonetize, </w:t>
      </w:r>
      <w:r w:rsidR="006D2A88">
        <w:rPr>
          <w:rFonts w:eastAsia="MS Mincho"/>
        </w:rPr>
        <w:t xml:space="preserve">friction and warnings, broader blocking capacity, </w:t>
      </w:r>
      <w:r w:rsidR="001A4E44" w:rsidRPr="00A06B51">
        <w:rPr>
          <w:rFonts w:eastAsia="MS Mincho"/>
        </w:rPr>
        <w:t xml:space="preserve">minimize its amplification, interfere with bots and coordinated online mob behaviour, adopt geolocated restrictions, and even promote counter-messaging. Not all of these tools are appropriate in every circumstance, and they may require limitations themselves, but these show the range of options short of deletion that may be available to companies in given situations.  In other words, just as States should evaluate whether a limitation on speech is the least restrictive approach, so too should companies carry out this kind of evaluation. And in carrying out the evaluation, companies should bear the burden of </w:t>
      </w:r>
      <w:r w:rsidR="00E9461A" w:rsidRPr="00A06B51">
        <w:rPr>
          <w:rFonts w:eastAsia="MS Mincho"/>
        </w:rPr>
        <w:t xml:space="preserve">publicly </w:t>
      </w:r>
      <w:r w:rsidR="001A4E44" w:rsidRPr="00A06B51">
        <w:rPr>
          <w:rFonts w:eastAsia="MS Mincho"/>
        </w:rPr>
        <w:t>demonstrating necessity and proportionality when so requested by affected users – whether the user is the speaker, the alleged victim, another person who came across the cont</w:t>
      </w:r>
      <w:r w:rsidR="00DE70AE">
        <w:rPr>
          <w:rFonts w:eastAsia="MS Mincho"/>
        </w:rPr>
        <w:t>ent, or a member of the public.</w:t>
      </w:r>
    </w:p>
    <w:p w14:paraId="54324E95" w14:textId="2F478BA4" w:rsidR="001A4E44" w:rsidRPr="00A06B51" w:rsidRDefault="003D5203" w:rsidP="00A06B51">
      <w:pPr>
        <w:pStyle w:val="SingleTxtG"/>
        <w:rPr>
          <w:rFonts w:eastAsia="MS Mincho"/>
        </w:rPr>
      </w:pPr>
      <w:r>
        <w:rPr>
          <w:rFonts w:eastAsia="MS Mincho"/>
        </w:rPr>
        <w:t>5</w:t>
      </w:r>
      <w:r w:rsidR="00250B4D">
        <w:rPr>
          <w:rFonts w:eastAsia="MS Mincho"/>
        </w:rPr>
        <w:t>2</w:t>
      </w:r>
      <w:r w:rsidR="001A4E44" w:rsidRPr="00A06B51">
        <w:rPr>
          <w:rFonts w:eastAsia="MS Mincho"/>
        </w:rPr>
        <w:t>.</w:t>
      </w:r>
      <w:r w:rsidR="001A4E44" w:rsidRPr="00A06B51">
        <w:rPr>
          <w:rFonts w:eastAsia="MS Mincho"/>
        </w:rPr>
        <w:tab/>
        <w:t>Evelyn Aswad identifies three steps that a company should undertake in the necessity framework: evaluat</w:t>
      </w:r>
      <w:r w:rsidR="00C3199B">
        <w:rPr>
          <w:rFonts w:eastAsia="MS Mincho"/>
        </w:rPr>
        <w:t>e</w:t>
      </w:r>
      <w:r w:rsidR="001A4E44" w:rsidRPr="00A06B51">
        <w:rPr>
          <w:rFonts w:eastAsia="MS Mincho"/>
        </w:rPr>
        <w:t xml:space="preserve"> the tools it has available to protect a legitimate objective without interfering with the speech itself; identify the tool that least intrudes on speech; and assess and demonstrate that the measure it selects actually achieves its goals.</w:t>
      </w:r>
      <w:r w:rsidR="001A4E44" w:rsidRPr="00AB236F">
        <w:rPr>
          <w:rFonts w:eastAsia="MS Mincho"/>
          <w:sz w:val="18"/>
          <w:szCs w:val="18"/>
          <w:vertAlign w:val="superscript"/>
        </w:rPr>
        <w:footnoteReference w:id="79"/>
      </w:r>
      <w:r w:rsidR="001A4E44" w:rsidRPr="00A06B51">
        <w:rPr>
          <w:rFonts w:eastAsia="MS Mincho"/>
        </w:rPr>
        <w:t xml:space="preserve"> This kind of evaluation tracks the UN Guiding Principles’ call for businesses to ensure that they prevent or mitigate harms, particularly because such an approach enables the companies to evaluate the two sets of potential harms involves – the restrictions on speech caused by implementation of their rules and the restrictions on speech caused by users deploying hate speech against other users or the public. An approach that draws from this framework enables the companies to determine how to respond not only to genuine incitement but also the kinds of expression that is common online – borderline h</w:t>
      </w:r>
      <w:r w:rsidR="00DE70AE">
        <w:rPr>
          <w:rFonts w:eastAsia="MS Mincho"/>
        </w:rPr>
        <w:t xml:space="preserve">ate speech and non-incitement. </w:t>
      </w:r>
    </w:p>
    <w:p w14:paraId="28FD7FA0" w14:textId="77777777" w:rsidR="001A4E44" w:rsidRPr="00A06B51" w:rsidRDefault="00DE70AE" w:rsidP="00DE70AE">
      <w:pPr>
        <w:pStyle w:val="H23G"/>
        <w:rPr>
          <w:rFonts w:eastAsia="MS Mincho"/>
        </w:rPr>
      </w:pPr>
      <w:r>
        <w:rPr>
          <w:rFonts w:eastAsia="MS Mincho"/>
        </w:rPr>
        <w:tab/>
      </w:r>
      <w:r>
        <w:rPr>
          <w:rFonts w:eastAsia="MS Mincho"/>
        </w:rPr>
        <w:tab/>
      </w:r>
      <w:r>
        <w:rPr>
          <w:rFonts w:eastAsia="MS Mincho"/>
        </w:rPr>
        <w:tab/>
        <w:t>Remedy</w:t>
      </w:r>
    </w:p>
    <w:p w14:paraId="2015DA45" w14:textId="24DCDCAC" w:rsidR="001A4E44" w:rsidRDefault="003D5203" w:rsidP="00A06B51">
      <w:pPr>
        <w:pStyle w:val="SingleTxtG"/>
        <w:rPr>
          <w:rFonts w:eastAsia="MS Mincho"/>
        </w:rPr>
      </w:pPr>
      <w:r>
        <w:rPr>
          <w:rFonts w:eastAsia="MS Mincho"/>
        </w:rPr>
        <w:t>5</w:t>
      </w:r>
      <w:r w:rsidR="00250B4D">
        <w:rPr>
          <w:rFonts w:eastAsia="MS Mincho"/>
        </w:rPr>
        <w:t>3</w:t>
      </w:r>
      <w:r w:rsidR="001A4E44" w:rsidRPr="00A06B51">
        <w:rPr>
          <w:rFonts w:eastAsia="MS Mincho"/>
        </w:rPr>
        <w:t>.</w:t>
      </w:r>
      <w:r w:rsidR="001A4E44" w:rsidRPr="00A06B51">
        <w:rPr>
          <w:rFonts w:eastAsia="MS Mincho"/>
        </w:rPr>
        <w:tab/>
        <w:t>The mechanisms of international human rights law provide a wealth of ideas for remediation of online hate speech. The ICCPR and ICERD require the availability of remedies for violations of their provisions</w:t>
      </w:r>
      <w:r w:rsidR="007B76BA">
        <w:rPr>
          <w:rFonts w:eastAsia="MS Mincho"/>
        </w:rPr>
        <w:t>, as does the UN Guiding Principles</w:t>
      </w:r>
      <w:r w:rsidR="001A4E44" w:rsidRPr="00A06B51">
        <w:rPr>
          <w:rFonts w:eastAsia="MS Mincho"/>
        </w:rPr>
        <w:t>.</w:t>
      </w:r>
      <w:r w:rsidR="001A4E44" w:rsidRPr="00AB236F">
        <w:rPr>
          <w:rFonts w:eastAsia="MS Mincho"/>
          <w:sz w:val="18"/>
          <w:szCs w:val="18"/>
          <w:vertAlign w:val="superscript"/>
        </w:rPr>
        <w:footnoteReference w:id="80"/>
      </w:r>
      <w:r w:rsidR="001A4E44" w:rsidRPr="00A06B51">
        <w:rPr>
          <w:rFonts w:eastAsia="MS Mincho"/>
        </w:rPr>
        <w:t xml:space="preserve"> The 2018 content moderation report highlighted company responsibility to remedy adverse human rights impacts under the UN Guiding Principles and so need not be repeated in detail here.</w:t>
      </w:r>
      <w:r w:rsidR="001A4E44" w:rsidRPr="00AB236F">
        <w:rPr>
          <w:rFonts w:eastAsia="MS Mincho"/>
          <w:sz w:val="18"/>
          <w:szCs w:val="18"/>
          <w:vertAlign w:val="superscript"/>
        </w:rPr>
        <w:footnoteReference w:id="81"/>
      </w:r>
      <w:r w:rsidR="001A4E44" w:rsidRPr="00AB236F">
        <w:rPr>
          <w:rFonts w:eastAsia="MS Mincho"/>
          <w:sz w:val="18"/>
          <w:szCs w:val="18"/>
          <w:vertAlign w:val="superscript"/>
        </w:rPr>
        <w:t xml:space="preserve"> </w:t>
      </w:r>
      <w:r w:rsidR="001A4E44" w:rsidRPr="00A06B51">
        <w:rPr>
          <w:rFonts w:eastAsia="MS Mincho"/>
        </w:rPr>
        <w:t xml:space="preserve">In short, the process of remediation must begin with an effective way for individuals to report potential violations of hate speech policies as well as protections against abuse of the reporting system as a form of hate speech. It should include a transparent and accessible process for appealing platform decisions, with companies providing a reasoned response that may also be publicly accessible. </w:t>
      </w:r>
    </w:p>
    <w:p w14:paraId="69F0C283" w14:textId="676EC65B" w:rsidR="007B76BA" w:rsidRPr="00A06B51" w:rsidRDefault="003D5203" w:rsidP="00A06B51">
      <w:pPr>
        <w:pStyle w:val="SingleTxtG"/>
        <w:rPr>
          <w:rFonts w:eastAsia="MS Mincho"/>
        </w:rPr>
      </w:pPr>
      <w:r>
        <w:rPr>
          <w:rFonts w:eastAsia="MS Mincho"/>
        </w:rPr>
        <w:t>5</w:t>
      </w:r>
      <w:r w:rsidR="00250B4D">
        <w:rPr>
          <w:rFonts w:eastAsia="MS Mincho"/>
        </w:rPr>
        <w:t>4</w:t>
      </w:r>
      <w:r w:rsidR="007B76BA">
        <w:rPr>
          <w:rFonts w:eastAsia="MS Mincho"/>
        </w:rPr>
        <w:t>.</w:t>
      </w:r>
      <w:r w:rsidR="007B76BA">
        <w:rPr>
          <w:rFonts w:eastAsia="MS Mincho"/>
        </w:rPr>
        <w:tab/>
        <w:t xml:space="preserve">At a minimum, the companies should publicly identify the kinds of remedies they will impose on violations of their hate speech policies. It may be that user suspension is insufficient. They should have graduated responses according to the severity of the violation or the recidivism of the user. They should develop strong products that protect user </w:t>
      </w:r>
      <w:r w:rsidR="007B76BA" w:rsidRPr="00DE70AE">
        <w:rPr>
          <w:rFonts w:eastAsia="MS Mincho"/>
        </w:rPr>
        <w:t>autonomy, security and free expression</w:t>
      </w:r>
      <w:r w:rsidR="007B76BA">
        <w:rPr>
          <w:rFonts w:eastAsia="MS Mincho"/>
        </w:rPr>
        <w:t xml:space="preserve"> to remedy violations. Their approaches may</w:t>
      </w:r>
      <w:r w:rsidR="007B76BA" w:rsidRPr="00DE70AE">
        <w:rPr>
          <w:rFonts w:eastAsia="MS Mincho"/>
        </w:rPr>
        <w:t xml:space="preserve"> involve de-amplification</w:t>
      </w:r>
      <w:r w:rsidR="007B76BA">
        <w:rPr>
          <w:rFonts w:eastAsia="MS Mincho"/>
        </w:rPr>
        <w:t xml:space="preserve"> and</w:t>
      </w:r>
      <w:r w:rsidR="007B76BA" w:rsidRPr="00DE70AE">
        <w:rPr>
          <w:rFonts w:eastAsia="MS Mincho"/>
        </w:rPr>
        <w:t xml:space="preserve"> de-monetization</w:t>
      </w:r>
      <w:r w:rsidR="007B76BA">
        <w:rPr>
          <w:rFonts w:eastAsia="MS Mincho"/>
        </w:rPr>
        <w:t xml:space="preserve"> of problematic expression that they do not want to ban, for whatever reason, but they should, again, make the policies clear and known in advance to all users,</w:t>
      </w:r>
      <w:r w:rsidR="000B1C08">
        <w:rPr>
          <w:rFonts w:eastAsia="MS Mincho"/>
        </w:rPr>
        <w:t xml:space="preserve"> based on accessible definitions,</w:t>
      </w:r>
      <w:r w:rsidR="007B76BA">
        <w:rPr>
          <w:rFonts w:eastAsia="MS Mincho"/>
        </w:rPr>
        <w:t xml:space="preserve"> with warnings for all and the opportunity to withdraw</w:t>
      </w:r>
      <w:r w:rsidR="000B1C08">
        <w:rPr>
          <w:rFonts w:eastAsia="MS Mincho"/>
        </w:rPr>
        <w:t xml:space="preserve"> and, if necessary, remedy the consequences of</w:t>
      </w:r>
      <w:r w:rsidR="007B76BA">
        <w:rPr>
          <w:rFonts w:eastAsia="MS Mincho"/>
        </w:rPr>
        <w:t xml:space="preserve"> an offending comment. They may develop programs that require suspended users who wish to return to the platform to engage in kinds of reparations, like apology, or other forms of direct engagement with others they harmed. They should have remedial policies of</w:t>
      </w:r>
      <w:r w:rsidR="007B76BA" w:rsidRPr="00DE70AE">
        <w:rPr>
          <w:rFonts w:eastAsia="MS Mincho"/>
        </w:rPr>
        <w:t xml:space="preserve"> education, counter-speech, reporting, and training</w:t>
      </w:r>
      <w:r w:rsidR="007B76BA">
        <w:rPr>
          <w:rFonts w:eastAsia="MS Mincho"/>
        </w:rPr>
        <w:t xml:space="preserve">. </w:t>
      </w:r>
      <w:r w:rsidR="000B1C08">
        <w:rPr>
          <w:rFonts w:eastAsia="MS Mincho"/>
        </w:rPr>
        <w:t>R</w:t>
      </w:r>
      <w:r w:rsidR="007B76BA">
        <w:rPr>
          <w:rFonts w:eastAsia="MS Mincho"/>
        </w:rPr>
        <w:t>emedy should also include, for the most serious lapses, post-violation impact assessments and the development of policies to end the violations.</w:t>
      </w:r>
    </w:p>
    <w:p w14:paraId="016344F0" w14:textId="3D6EA775" w:rsidR="001A4E44" w:rsidRPr="001A4E44" w:rsidRDefault="003D5203" w:rsidP="00DE70AE">
      <w:pPr>
        <w:pStyle w:val="SingleTxtG"/>
        <w:rPr>
          <w:rFonts w:eastAsia="MS Mincho"/>
        </w:rPr>
      </w:pPr>
      <w:r>
        <w:rPr>
          <w:rFonts w:eastAsia="MS Mincho"/>
        </w:rPr>
        <w:t>5</w:t>
      </w:r>
      <w:r w:rsidR="00250B4D">
        <w:rPr>
          <w:rFonts w:eastAsia="MS Mincho"/>
        </w:rPr>
        <w:t>5</w:t>
      </w:r>
      <w:r w:rsidR="00DE70AE">
        <w:rPr>
          <w:rFonts w:eastAsia="MS Mincho"/>
        </w:rPr>
        <w:t>.</w:t>
      </w:r>
      <w:r w:rsidR="001A4E44" w:rsidRPr="00A06B51">
        <w:rPr>
          <w:rFonts w:eastAsia="MS Mincho"/>
        </w:rPr>
        <w:tab/>
        <w:t>The Rabat Plan of Action and Human Rights Council Resolution 16/18 also provide ideas that companies may draw upon in providing remedies for hateful content. The Rabat Plan of Action indicates, “States should ensure that persons who have suffered actual harm as a result of incitement to hatred have a right to an effective remedy, including a civil or non-judicial remedy for damages.” Such remedies could include pecuniary damages, the “right of correction” and “right of reply”.</w:t>
      </w:r>
      <w:r w:rsidR="001A4E44" w:rsidRPr="00AB236F">
        <w:rPr>
          <w:rFonts w:eastAsia="MS Mincho"/>
          <w:sz w:val="18"/>
          <w:szCs w:val="18"/>
          <w:vertAlign w:val="superscript"/>
        </w:rPr>
        <w:footnoteReference w:id="82"/>
      </w:r>
      <w:r w:rsidR="001A4E44" w:rsidRPr="00AB236F">
        <w:rPr>
          <w:rFonts w:eastAsia="MS Mincho"/>
          <w:sz w:val="18"/>
          <w:szCs w:val="18"/>
          <w:vertAlign w:val="superscript"/>
        </w:rPr>
        <w:t xml:space="preserve"> </w:t>
      </w:r>
      <w:r w:rsidR="001A4E44" w:rsidRPr="00A06B51">
        <w:rPr>
          <w:rFonts w:eastAsia="MS Mincho"/>
        </w:rPr>
        <w:t>Resolution 16/18 identifies such tools as training of government officials and promoting the right of minority communities to manifest their belief.</w:t>
      </w:r>
      <w:r w:rsidR="001A4E44" w:rsidRPr="00AB236F">
        <w:rPr>
          <w:rFonts w:eastAsia="MS Mincho"/>
          <w:sz w:val="18"/>
          <w:szCs w:val="18"/>
          <w:vertAlign w:val="superscript"/>
        </w:rPr>
        <w:footnoteReference w:id="83"/>
      </w:r>
      <w:r w:rsidR="001A4E44" w:rsidRPr="00A06B51">
        <w:rPr>
          <w:rFonts w:eastAsia="MS Mincho"/>
        </w:rPr>
        <w:t xml:space="preserve"> The previous Special Rapporteur urged procedural remedies (“access to justice and ensuring effectiveness of domestic institutions”) and substantive ones (“reparations that are adequate, prompt, and proportionate to the gravity of the expression, which may include restoring reputation, preventing recurrence and providing financial compensation.”)</w:t>
      </w:r>
      <w:r w:rsidR="001A4E44" w:rsidRPr="00AB236F">
        <w:rPr>
          <w:rFonts w:eastAsia="MS Mincho"/>
          <w:sz w:val="18"/>
          <w:szCs w:val="18"/>
          <w:vertAlign w:val="superscript"/>
        </w:rPr>
        <w:footnoteReference w:id="84"/>
      </w:r>
      <w:r w:rsidR="001A4E44" w:rsidRPr="00A06B51">
        <w:rPr>
          <w:rFonts w:eastAsia="MS Mincho"/>
        </w:rPr>
        <w:t xml:space="preserve"> But he also urged a set of non-legal remedies, which the companies should evaluate and implement given their responsibility as creators of platforms on which hateful content thrives. Such remedial action could include educational efforts concerning the harms of hate speech and the way in which hate speech often aims to push vulnerable communities off the platforms (i.e., to silence them); mechanisms for responses to hate speech to be promoted and given greater visibility; public denunciation of hate speech, such as promoting public service announcements and statements of public figures; and stronger collaborations with social science researchers to evaluate the scope of the problem and the tools that are most effective against proliferation of hateful content.</w:t>
      </w:r>
      <w:r w:rsidR="001A4E44" w:rsidRPr="00AB236F">
        <w:rPr>
          <w:rFonts w:eastAsia="MS Mincho"/>
          <w:sz w:val="18"/>
          <w:szCs w:val="18"/>
          <w:vertAlign w:val="superscript"/>
        </w:rPr>
        <w:footnoteReference w:id="85"/>
      </w:r>
      <w:r w:rsidR="00DE70AE" w:rsidRPr="00AB236F">
        <w:rPr>
          <w:rFonts w:eastAsia="MS Mincho"/>
          <w:sz w:val="18"/>
          <w:szCs w:val="18"/>
          <w:vertAlign w:val="superscript"/>
        </w:rPr>
        <w:t xml:space="preserve"> </w:t>
      </w:r>
    </w:p>
    <w:p w14:paraId="585863AF" w14:textId="77777777" w:rsidR="001A4E44" w:rsidRPr="001A4E44" w:rsidRDefault="00DE70AE" w:rsidP="00DE70AE">
      <w:pPr>
        <w:pStyle w:val="HChG"/>
        <w:rPr>
          <w:rFonts w:eastAsia="MS Mincho"/>
        </w:rPr>
      </w:pPr>
      <w:r>
        <w:rPr>
          <w:rFonts w:eastAsia="MS Mincho"/>
        </w:rPr>
        <w:tab/>
        <w:t>IV.</w:t>
      </w:r>
      <w:r>
        <w:rPr>
          <w:rFonts w:eastAsia="MS Mincho"/>
        </w:rPr>
        <w:tab/>
      </w:r>
      <w:r w:rsidR="001A4E44" w:rsidRPr="001A4E44">
        <w:rPr>
          <w:rFonts w:eastAsia="MS Mincho"/>
        </w:rPr>
        <w:t>Conclusions and Recommendations</w:t>
      </w:r>
    </w:p>
    <w:p w14:paraId="51F508C4" w14:textId="10467AC0" w:rsidR="001A4E44" w:rsidRPr="0036222E" w:rsidRDefault="003D5203" w:rsidP="00DE70AE">
      <w:pPr>
        <w:pStyle w:val="SingleTxtG"/>
        <w:rPr>
          <w:rFonts w:eastAsia="MS Mincho"/>
          <w:b/>
          <w:bCs/>
        </w:rPr>
      </w:pPr>
      <w:r w:rsidRPr="00250B4D">
        <w:rPr>
          <w:rFonts w:eastAsia="MS Mincho"/>
          <w:bCs/>
        </w:rPr>
        <w:t>5</w:t>
      </w:r>
      <w:r w:rsidR="00250B4D" w:rsidRPr="00250B4D">
        <w:rPr>
          <w:rFonts w:eastAsia="MS Mincho"/>
          <w:bCs/>
        </w:rPr>
        <w:t>6</w:t>
      </w:r>
      <w:r w:rsidR="001A4E44" w:rsidRPr="00250B4D">
        <w:rPr>
          <w:rFonts w:eastAsia="MS Mincho"/>
          <w:bCs/>
        </w:rPr>
        <w:t xml:space="preserve">. </w:t>
      </w:r>
      <w:r w:rsidR="001A4E44" w:rsidRPr="00250B4D">
        <w:rPr>
          <w:rFonts w:eastAsia="MS Mincho"/>
          <w:bCs/>
        </w:rPr>
        <w:tab/>
      </w:r>
      <w:r w:rsidR="00E02EE6" w:rsidRPr="0036222E">
        <w:rPr>
          <w:rFonts w:eastAsia="MS Mincho"/>
          <w:b/>
          <w:bCs/>
        </w:rPr>
        <w:t xml:space="preserve">International human rights law should be understood as a critical framework for the protection and respect of human rights when combatting hateful, offensive, dangerous or disfavoured speech. </w:t>
      </w:r>
      <w:r w:rsidR="000B1C08">
        <w:rPr>
          <w:rFonts w:eastAsia="MS Mincho"/>
          <w:b/>
          <w:bCs/>
        </w:rPr>
        <w:t>O</w:t>
      </w:r>
      <w:r w:rsidR="00E02EE6" w:rsidRPr="0036222E">
        <w:rPr>
          <w:rFonts w:eastAsia="MS Mincho"/>
          <w:b/>
          <w:bCs/>
        </w:rPr>
        <w:t xml:space="preserve">nline </w:t>
      </w:r>
      <w:r w:rsidR="000B1C08">
        <w:rPr>
          <w:rFonts w:eastAsia="MS Mincho"/>
          <w:b/>
          <w:bCs/>
        </w:rPr>
        <w:t>‘</w:t>
      </w:r>
      <w:r w:rsidR="001A4E44" w:rsidRPr="0036222E">
        <w:rPr>
          <w:rFonts w:eastAsia="MS Mincho"/>
          <w:b/>
          <w:bCs/>
        </w:rPr>
        <w:t>hate speech</w:t>
      </w:r>
      <w:r w:rsidR="000B1C08">
        <w:rPr>
          <w:rFonts w:eastAsia="MS Mincho"/>
          <w:b/>
          <w:bCs/>
        </w:rPr>
        <w:t>’</w:t>
      </w:r>
      <w:r w:rsidR="001A4E44" w:rsidRPr="0036222E">
        <w:rPr>
          <w:rFonts w:eastAsia="MS Mincho"/>
          <w:b/>
          <w:bCs/>
        </w:rPr>
        <w:t xml:space="preserve">, the broad category of expression described in this report, can result in deleterious outcomes. When the </w:t>
      </w:r>
      <w:r w:rsidR="000B1C08">
        <w:rPr>
          <w:rFonts w:eastAsia="MS Mincho"/>
          <w:b/>
          <w:bCs/>
        </w:rPr>
        <w:t>phrase</w:t>
      </w:r>
      <w:r w:rsidR="001A4E44" w:rsidRPr="0036222E">
        <w:rPr>
          <w:rFonts w:eastAsia="MS Mincho"/>
          <w:b/>
          <w:bCs/>
        </w:rPr>
        <w:t xml:space="preserve"> is abused, it can provide ill-intentioned States with a tool to punish and restrict speech that is entirely legitimate and even necessary in rights-respecting societies. But some kinds of </w:t>
      </w:r>
      <w:r w:rsidR="000B1C08">
        <w:rPr>
          <w:rFonts w:eastAsia="MS Mincho"/>
          <w:b/>
          <w:bCs/>
        </w:rPr>
        <w:t>expression</w:t>
      </w:r>
      <w:r w:rsidR="001A4E44" w:rsidRPr="0036222E">
        <w:rPr>
          <w:rFonts w:eastAsia="MS Mincho"/>
          <w:b/>
          <w:bCs/>
        </w:rPr>
        <w:t xml:space="preserve"> can cause real harm. It can intimidate vulnerable communities into silence, particularly when it</w:t>
      </w:r>
      <w:r w:rsidR="00552CAB" w:rsidRPr="0036222E">
        <w:rPr>
          <w:rFonts w:eastAsia="MS Mincho"/>
          <w:b/>
          <w:bCs/>
        </w:rPr>
        <w:t xml:space="preserve"> involves advocacy of hatred that</w:t>
      </w:r>
      <w:r w:rsidR="001A4E44" w:rsidRPr="0036222E">
        <w:rPr>
          <w:rFonts w:eastAsia="MS Mincho"/>
          <w:b/>
          <w:bCs/>
        </w:rPr>
        <w:t xml:space="preserve"> constitutes incitement to </w:t>
      </w:r>
      <w:r w:rsidR="00552CAB" w:rsidRPr="0036222E">
        <w:rPr>
          <w:rFonts w:eastAsia="MS Mincho"/>
          <w:b/>
          <w:bCs/>
        </w:rPr>
        <w:t>hostility</w:t>
      </w:r>
      <w:r w:rsidR="001A4E44" w:rsidRPr="0036222E">
        <w:rPr>
          <w:rFonts w:eastAsia="MS Mincho"/>
          <w:b/>
          <w:bCs/>
        </w:rPr>
        <w:t xml:space="preserve">, discrimination, or violence. Left unchecked and viral, it can create an environment that undermines public debate and can harm even those who are not users of the subject platform. It is thus important that States and companies address the problems of hate speech with a determination to protect those at risk of being silenced and to promote open and rigorous debate on even the most sensitive issues in the public interest. </w:t>
      </w:r>
    </w:p>
    <w:p w14:paraId="405E247D" w14:textId="77777777" w:rsidR="001A4E44" w:rsidRPr="0036222E" w:rsidRDefault="00DE70AE" w:rsidP="00DE70AE">
      <w:pPr>
        <w:pStyle w:val="H23G"/>
        <w:rPr>
          <w:rFonts w:eastAsia="MS Mincho"/>
          <w:bCs/>
        </w:rPr>
      </w:pPr>
      <w:r w:rsidRPr="0036222E">
        <w:rPr>
          <w:rFonts w:eastAsia="MS Mincho"/>
          <w:bCs/>
        </w:rPr>
        <w:tab/>
      </w:r>
      <w:r w:rsidRPr="0036222E">
        <w:rPr>
          <w:rFonts w:eastAsia="MS Mincho"/>
          <w:bCs/>
        </w:rPr>
        <w:tab/>
      </w:r>
      <w:r w:rsidR="001A4E44" w:rsidRPr="0036222E">
        <w:rPr>
          <w:rFonts w:eastAsia="MS Mincho"/>
          <w:bCs/>
        </w:rPr>
        <w:t>For States</w:t>
      </w:r>
    </w:p>
    <w:p w14:paraId="76AAAEB7" w14:textId="1A70255D" w:rsidR="001A4E44" w:rsidRPr="0036222E" w:rsidRDefault="003D5203" w:rsidP="00DE70AE">
      <w:pPr>
        <w:pStyle w:val="SingleTxtG"/>
        <w:rPr>
          <w:rFonts w:eastAsia="MS Mincho"/>
          <w:b/>
          <w:bCs/>
        </w:rPr>
      </w:pPr>
      <w:r w:rsidRPr="00250B4D">
        <w:rPr>
          <w:rFonts w:eastAsia="MS Mincho"/>
          <w:bCs/>
        </w:rPr>
        <w:t>5</w:t>
      </w:r>
      <w:r w:rsidR="00250B4D" w:rsidRPr="00250B4D">
        <w:rPr>
          <w:rFonts w:eastAsia="MS Mincho"/>
          <w:bCs/>
        </w:rPr>
        <w:t>7</w:t>
      </w:r>
      <w:r w:rsidR="001A4E44" w:rsidRPr="00250B4D">
        <w:rPr>
          <w:rFonts w:eastAsia="MS Mincho"/>
          <w:bCs/>
        </w:rPr>
        <w:t>.</w:t>
      </w:r>
      <w:r w:rsidR="001A4E44" w:rsidRPr="00250B4D">
        <w:rPr>
          <w:rFonts w:eastAsia="MS Mincho"/>
          <w:bCs/>
        </w:rPr>
        <w:tab/>
      </w:r>
      <w:r w:rsidR="001A4E44" w:rsidRPr="0036222E">
        <w:rPr>
          <w:rFonts w:eastAsia="MS Mincho"/>
          <w:b/>
          <w:bCs/>
        </w:rPr>
        <w:t xml:space="preserve">State approaches to online hate speech should begin with two premises: First, offline human rights protections must also apply to online speech. There should be no special category of online hate speech for which the penalties are higher than offline. Second, </w:t>
      </w:r>
      <w:r w:rsidR="00552CAB" w:rsidRPr="0036222E">
        <w:rPr>
          <w:rFonts w:eastAsia="MS Mincho"/>
          <w:b/>
          <w:bCs/>
        </w:rPr>
        <w:t>governments should not demand – through legal or extra-legal threats – that intermediaries take action</w:t>
      </w:r>
      <w:r w:rsidR="001A4E44" w:rsidRPr="0036222E">
        <w:rPr>
          <w:rFonts w:eastAsia="MS Mincho"/>
          <w:b/>
          <w:bCs/>
        </w:rPr>
        <w:t xml:space="preserve"> that international human rights law would bar States from doing directly. In keeping with these foundations, and with reference to the rules outlined above, States should at a minimum do the following in addressing online hate speech:</w:t>
      </w:r>
    </w:p>
    <w:p w14:paraId="0CFDA47C" w14:textId="31E1BE4B"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Strictly define the terms</w:t>
      </w:r>
      <w:r w:rsidR="00552CAB" w:rsidRPr="0036222E">
        <w:rPr>
          <w:rFonts w:eastAsia="MS Mincho"/>
          <w:b/>
          <w:bCs/>
        </w:rPr>
        <w:t xml:space="preserve"> in their laws</w:t>
      </w:r>
      <w:r w:rsidRPr="0036222E">
        <w:rPr>
          <w:rFonts w:eastAsia="MS Mincho"/>
          <w:b/>
          <w:bCs/>
        </w:rPr>
        <w:t xml:space="preserve"> that constitute prohibited content under Article 20(2) of the ICCPR and Article 4 of the ICERD and resist criminalizing such speech except in the gravest situations, such as</w:t>
      </w:r>
      <w:r w:rsidR="0079569C" w:rsidRPr="0036222E">
        <w:rPr>
          <w:rFonts w:eastAsia="MS Mincho"/>
          <w:b/>
          <w:bCs/>
        </w:rPr>
        <w:t xml:space="preserve"> </w:t>
      </w:r>
      <w:r w:rsidR="000B1C08">
        <w:rPr>
          <w:rFonts w:eastAsia="MS Mincho"/>
          <w:b/>
          <w:bCs/>
        </w:rPr>
        <w:t>advocacy of</w:t>
      </w:r>
      <w:r w:rsidR="0079569C" w:rsidRPr="0036222E">
        <w:rPr>
          <w:rFonts w:eastAsia="MS Mincho"/>
          <w:b/>
          <w:bCs/>
        </w:rPr>
        <w:t xml:space="preserve"> national, racial or religious hatred that constitutes incitement to discrimination, hostility or violence, </w:t>
      </w:r>
      <w:r w:rsidR="008D5BE8" w:rsidRPr="0036222E">
        <w:rPr>
          <w:rFonts w:eastAsia="MS Mincho"/>
          <w:b/>
          <w:bCs/>
        </w:rPr>
        <w:t>and adopt the interpretations of human rights law contained in the Rabat Plan of Action</w:t>
      </w:r>
      <w:r w:rsidR="00DE70AE" w:rsidRPr="0036222E">
        <w:rPr>
          <w:rFonts w:eastAsia="MS Mincho"/>
          <w:b/>
          <w:bCs/>
        </w:rPr>
        <w:t>;</w:t>
      </w:r>
    </w:p>
    <w:p w14:paraId="799BE237" w14:textId="58FB1C22"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 xml:space="preserve">Review existing laws or develop ‘hate speech’ legislation that meet the requirements of legality, necessity and proportionality, and legitimacy, and subject such rulemaking </w:t>
      </w:r>
      <w:r w:rsidR="00DE70AE" w:rsidRPr="0036222E">
        <w:rPr>
          <w:rFonts w:eastAsia="MS Mincho"/>
          <w:b/>
          <w:bCs/>
        </w:rPr>
        <w:t>to robust public participation;</w:t>
      </w:r>
    </w:p>
    <w:p w14:paraId="3473278F" w14:textId="068F7909" w:rsidR="008D5BE8" w:rsidRPr="0036222E" w:rsidRDefault="008D5BE8" w:rsidP="00F15331">
      <w:pPr>
        <w:pStyle w:val="SingleTxtG"/>
        <w:numPr>
          <w:ilvl w:val="0"/>
          <w:numId w:val="20"/>
        </w:numPr>
        <w:ind w:left="1134" w:firstLine="567"/>
        <w:rPr>
          <w:rFonts w:eastAsia="MS Mincho"/>
          <w:b/>
          <w:bCs/>
        </w:rPr>
      </w:pPr>
      <w:r w:rsidRPr="0036222E">
        <w:rPr>
          <w:rFonts w:eastAsia="MS Mincho"/>
          <w:b/>
          <w:bCs/>
        </w:rPr>
        <w:t>Actively consider and deploy good governance measures, including those recommended in Human Rights Council Resolution 16/18 and the Rabat Plan of Action, to tackle hate speech with the aim of reducing the perceived need for bans on expression;</w:t>
      </w:r>
    </w:p>
    <w:p w14:paraId="6C424885" w14:textId="1C2E79AB"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 xml:space="preserve">Adopt or review intermediary liability rules </w:t>
      </w:r>
      <w:r w:rsidR="000B1C08">
        <w:rPr>
          <w:rFonts w:eastAsia="MS Mincho"/>
          <w:b/>
          <w:bCs/>
        </w:rPr>
        <w:t>to</w:t>
      </w:r>
      <w:r w:rsidRPr="0036222E">
        <w:rPr>
          <w:rFonts w:eastAsia="MS Mincho"/>
          <w:b/>
          <w:bCs/>
        </w:rPr>
        <w:t xml:space="preserve"> adhere strictly to human rights standards</w:t>
      </w:r>
      <w:r w:rsidR="0079569C" w:rsidRPr="0036222E">
        <w:rPr>
          <w:rFonts w:eastAsia="MS Mincho"/>
          <w:b/>
          <w:bCs/>
        </w:rPr>
        <w:t xml:space="preserve"> and do not demand that companies restrict expression that they would be unable to do directly, through legislation</w:t>
      </w:r>
      <w:r w:rsidR="00DE70AE" w:rsidRPr="0036222E">
        <w:rPr>
          <w:rFonts w:eastAsia="MS Mincho"/>
          <w:b/>
          <w:bCs/>
        </w:rPr>
        <w:t xml:space="preserve">; </w:t>
      </w:r>
    </w:p>
    <w:p w14:paraId="45E50FED" w14:textId="77859C9C"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Establish or strengthen independent judicial mechanisms to ensure that individuals may have access to justice and remedies when sufferin</w:t>
      </w:r>
      <w:r w:rsidR="00DE70AE" w:rsidRPr="0036222E">
        <w:rPr>
          <w:rFonts w:eastAsia="MS Mincho"/>
          <w:b/>
          <w:bCs/>
        </w:rPr>
        <w:t xml:space="preserve">g cognizable </w:t>
      </w:r>
      <w:r w:rsidR="0079569C" w:rsidRPr="0036222E">
        <w:rPr>
          <w:rFonts w:eastAsia="MS Mincho"/>
          <w:b/>
          <w:bCs/>
        </w:rPr>
        <w:t xml:space="preserve">Article 20(2) or Article 4 </w:t>
      </w:r>
      <w:r w:rsidR="00DE70AE" w:rsidRPr="0036222E">
        <w:rPr>
          <w:rFonts w:eastAsia="MS Mincho"/>
          <w:b/>
          <w:bCs/>
        </w:rPr>
        <w:t>harms;</w:t>
      </w:r>
    </w:p>
    <w:p w14:paraId="7FA0C971" w14:textId="6F7254B8"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Adopt laws that require companies to describe in detail and in public form how they define hate speech and enforce their rules against it, and to create databases of hate speech actions the companie</w:t>
      </w:r>
      <w:r w:rsidR="00DE70AE" w:rsidRPr="0036222E">
        <w:rPr>
          <w:rFonts w:eastAsia="MS Mincho"/>
          <w:b/>
          <w:bCs/>
        </w:rPr>
        <w:t>s take</w:t>
      </w:r>
      <w:r w:rsidR="008D5BE8" w:rsidRPr="0036222E">
        <w:rPr>
          <w:rFonts w:eastAsia="MS Mincho"/>
          <w:b/>
          <w:bCs/>
        </w:rPr>
        <w:t>, and to otherwise encourage companies to respect human rights standards in their own rules</w:t>
      </w:r>
      <w:r w:rsidR="00DE70AE" w:rsidRPr="0036222E">
        <w:rPr>
          <w:rFonts w:eastAsia="MS Mincho"/>
          <w:b/>
          <w:bCs/>
        </w:rPr>
        <w:t>; and</w:t>
      </w:r>
    </w:p>
    <w:p w14:paraId="565CE5CA" w14:textId="61B4EA6A" w:rsidR="001A4E44" w:rsidRPr="0036222E" w:rsidRDefault="001A4E44" w:rsidP="00F15331">
      <w:pPr>
        <w:pStyle w:val="SingleTxtG"/>
        <w:numPr>
          <w:ilvl w:val="0"/>
          <w:numId w:val="20"/>
        </w:numPr>
        <w:ind w:left="1134" w:firstLine="567"/>
        <w:rPr>
          <w:rFonts w:eastAsia="MS Mincho"/>
          <w:b/>
          <w:bCs/>
        </w:rPr>
      </w:pPr>
      <w:r w:rsidRPr="0036222E">
        <w:rPr>
          <w:rFonts w:eastAsia="MS Mincho"/>
          <w:b/>
          <w:bCs/>
        </w:rPr>
        <w:t>Actively engage in international processes</w:t>
      </w:r>
      <w:r w:rsidR="000B1C08">
        <w:rPr>
          <w:rFonts w:eastAsia="MS Mincho"/>
          <w:b/>
          <w:bCs/>
        </w:rPr>
        <w:t xml:space="preserve"> </w:t>
      </w:r>
      <w:r w:rsidRPr="0036222E">
        <w:rPr>
          <w:rFonts w:eastAsia="MS Mincho"/>
          <w:b/>
          <w:bCs/>
        </w:rPr>
        <w:t>designed as learning forums for addressing hate speech.</w:t>
      </w:r>
    </w:p>
    <w:p w14:paraId="44E86C65" w14:textId="77777777" w:rsidR="001A4E44" w:rsidRPr="0036222E" w:rsidRDefault="00DE70AE" w:rsidP="00DE70AE">
      <w:pPr>
        <w:pStyle w:val="H23G"/>
        <w:rPr>
          <w:rFonts w:eastAsia="MS Mincho"/>
          <w:bCs/>
        </w:rPr>
      </w:pPr>
      <w:r w:rsidRPr="0036222E">
        <w:rPr>
          <w:rFonts w:eastAsia="MS Mincho"/>
          <w:bCs/>
        </w:rPr>
        <w:tab/>
      </w:r>
      <w:r w:rsidRPr="0036222E">
        <w:rPr>
          <w:rFonts w:eastAsia="MS Mincho"/>
          <w:bCs/>
        </w:rPr>
        <w:tab/>
      </w:r>
      <w:r w:rsidR="001A4E44" w:rsidRPr="0036222E">
        <w:rPr>
          <w:rFonts w:eastAsia="MS Mincho"/>
          <w:bCs/>
        </w:rPr>
        <w:t>For Companies</w:t>
      </w:r>
    </w:p>
    <w:p w14:paraId="23933BC1" w14:textId="45A8BC22" w:rsidR="001A4E44" w:rsidRPr="0036222E" w:rsidRDefault="003D5203" w:rsidP="00DE70AE">
      <w:pPr>
        <w:pStyle w:val="SingleTxtG"/>
        <w:rPr>
          <w:b/>
          <w:bCs/>
        </w:rPr>
      </w:pPr>
      <w:r w:rsidRPr="00250B4D">
        <w:rPr>
          <w:bCs/>
        </w:rPr>
        <w:t>5</w:t>
      </w:r>
      <w:r w:rsidR="00250B4D" w:rsidRPr="00250B4D">
        <w:rPr>
          <w:bCs/>
        </w:rPr>
        <w:t>8</w:t>
      </w:r>
      <w:r w:rsidR="001A4E44" w:rsidRPr="00250B4D">
        <w:rPr>
          <w:bCs/>
        </w:rPr>
        <w:t>.</w:t>
      </w:r>
      <w:r w:rsidR="001A4E44" w:rsidRPr="0036222E">
        <w:rPr>
          <w:b/>
          <w:bCs/>
        </w:rPr>
        <w:tab/>
        <w:t>Companies have for too long avoided human rights law as a guide to their rules and rulemaking, notwithstanding the extensive impacts they have on human rights of their users and the public. In addition to the principles adopted in earlier reports and in keeping with the UN Guiding Principles on Business and Human Rights, all companies in the ICT sector should:</w:t>
      </w:r>
    </w:p>
    <w:p w14:paraId="62682584" w14:textId="77777777" w:rsidR="001A4E44" w:rsidRPr="0036222E" w:rsidRDefault="001A4E44" w:rsidP="00F15331">
      <w:pPr>
        <w:pStyle w:val="SingleTxtG"/>
        <w:numPr>
          <w:ilvl w:val="0"/>
          <w:numId w:val="22"/>
        </w:numPr>
        <w:ind w:left="1134" w:firstLine="567"/>
        <w:rPr>
          <w:rFonts w:eastAsia="MS Mincho"/>
          <w:b/>
          <w:bCs/>
        </w:rPr>
      </w:pPr>
      <w:r w:rsidRPr="0036222E">
        <w:rPr>
          <w:rFonts w:eastAsia="MS Mincho"/>
          <w:b/>
          <w:bCs/>
        </w:rPr>
        <w:t>Evaluate how their products and services impact the human rights of their users and the public, doing so through periodic and publicly available human rights impact assessments;</w:t>
      </w:r>
    </w:p>
    <w:p w14:paraId="507420F4" w14:textId="05B27A6F" w:rsidR="001A4E44" w:rsidRPr="0036222E" w:rsidRDefault="001A4E44" w:rsidP="00F15331">
      <w:pPr>
        <w:pStyle w:val="SingleTxtG"/>
        <w:numPr>
          <w:ilvl w:val="0"/>
          <w:numId w:val="22"/>
        </w:numPr>
        <w:ind w:left="1134" w:firstLine="567"/>
        <w:rPr>
          <w:rFonts w:eastAsia="MS Mincho"/>
          <w:b/>
          <w:bCs/>
        </w:rPr>
      </w:pPr>
      <w:r w:rsidRPr="0036222E">
        <w:rPr>
          <w:rFonts w:eastAsia="MS Mincho"/>
          <w:b/>
          <w:bCs/>
        </w:rPr>
        <w:t xml:space="preserve">Adopt content policies that tie their hate speech rules directly to international human rights law, indicating that the rules will be enforced according to the standards of international human rights law, including the relevant </w:t>
      </w:r>
      <w:r w:rsidR="008D5BE8" w:rsidRPr="0036222E">
        <w:rPr>
          <w:rFonts w:eastAsia="MS Mincho"/>
          <w:b/>
          <w:bCs/>
        </w:rPr>
        <w:t xml:space="preserve">UN </w:t>
      </w:r>
      <w:r w:rsidRPr="0036222E">
        <w:rPr>
          <w:rFonts w:eastAsia="MS Mincho"/>
          <w:b/>
          <w:bCs/>
        </w:rPr>
        <w:t>treaties and interpretations of the treaty bodies and</w:t>
      </w:r>
      <w:r w:rsidR="008D5BE8" w:rsidRPr="0036222E">
        <w:rPr>
          <w:rFonts w:eastAsia="MS Mincho"/>
          <w:b/>
          <w:bCs/>
        </w:rPr>
        <w:t xml:space="preserve"> Special Procedures and other</w:t>
      </w:r>
      <w:r w:rsidRPr="0036222E">
        <w:rPr>
          <w:rFonts w:eastAsia="MS Mincho"/>
          <w:b/>
          <w:bCs/>
        </w:rPr>
        <w:t xml:space="preserve"> expert</w:t>
      </w:r>
      <w:r w:rsidR="008D5BE8" w:rsidRPr="0036222E">
        <w:rPr>
          <w:rFonts w:eastAsia="MS Mincho"/>
          <w:b/>
          <w:bCs/>
        </w:rPr>
        <w:t>s, including</w:t>
      </w:r>
      <w:r w:rsidRPr="0036222E">
        <w:rPr>
          <w:rFonts w:eastAsia="MS Mincho"/>
          <w:b/>
          <w:bCs/>
        </w:rPr>
        <w:t xml:space="preserve"> the Rabat Plan of Action;</w:t>
      </w:r>
    </w:p>
    <w:p w14:paraId="12210EFA" w14:textId="3AEFDF32" w:rsidR="001A4E44" w:rsidRPr="0036222E" w:rsidRDefault="001A4E44" w:rsidP="00F15331">
      <w:pPr>
        <w:pStyle w:val="SingleTxtG"/>
        <w:numPr>
          <w:ilvl w:val="0"/>
          <w:numId w:val="22"/>
        </w:numPr>
        <w:ind w:left="1134" w:firstLine="567"/>
        <w:rPr>
          <w:rFonts w:eastAsia="MS Mincho"/>
          <w:b/>
          <w:bCs/>
        </w:rPr>
      </w:pPr>
      <w:r w:rsidRPr="0036222E">
        <w:rPr>
          <w:rFonts w:eastAsia="MS Mincho"/>
          <w:b/>
          <w:bCs/>
        </w:rPr>
        <w:t xml:space="preserve">Define the category of content they consider to be ‘hate speech’ with reasoned explanations for users and the public, and </w:t>
      </w:r>
      <w:r w:rsidR="00B73781" w:rsidRPr="0036222E">
        <w:rPr>
          <w:rFonts w:eastAsia="MS Mincho"/>
          <w:b/>
          <w:bCs/>
        </w:rPr>
        <w:t>approaches that are consistent across jurisdictions</w:t>
      </w:r>
      <w:r w:rsidRPr="0036222E">
        <w:rPr>
          <w:rFonts w:eastAsia="MS Mincho"/>
          <w:b/>
          <w:bCs/>
        </w:rPr>
        <w:t>;</w:t>
      </w:r>
    </w:p>
    <w:p w14:paraId="19485A99" w14:textId="77777777" w:rsidR="001A4E44" w:rsidRPr="0036222E" w:rsidRDefault="001A4E44" w:rsidP="00F15331">
      <w:pPr>
        <w:pStyle w:val="SingleTxtG"/>
        <w:numPr>
          <w:ilvl w:val="0"/>
          <w:numId w:val="22"/>
        </w:numPr>
        <w:ind w:left="1134" w:firstLine="567"/>
        <w:rPr>
          <w:rFonts w:eastAsia="MS Mincho"/>
          <w:b/>
          <w:bCs/>
        </w:rPr>
      </w:pPr>
      <w:r w:rsidRPr="0036222E">
        <w:rPr>
          <w:rFonts w:eastAsia="MS Mincho"/>
          <w:b/>
          <w:bCs/>
        </w:rPr>
        <w:t>Ensure that any enforcement of hate speech rules involves an evaluation of context and the harm that the content imposes on users and the public, including by ensuring that any use of automation or Artificial Intelligence tools involve human-in-the-loop;</w:t>
      </w:r>
    </w:p>
    <w:p w14:paraId="07C867E4" w14:textId="70002562" w:rsidR="001A4E44" w:rsidRPr="0036222E" w:rsidRDefault="001A4E44" w:rsidP="00F15331">
      <w:pPr>
        <w:pStyle w:val="SingleTxtG"/>
        <w:numPr>
          <w:ilvl w:val="0"/>
          <w:numId w:val="22"/>
        </w:numPr>
        <w:ind w:left="1134" w:firstLine="567"/>
        <w:rPr>
          <w:rFonts w:eastAsia="MS Mincho"/>
          <w:b/>
          <w:bCs/>
        </w:rPr>
      </w:pPr>
      <w:r w:rsidRPr="0036222E">
        <w:rPr>
          <w:rFonts w:eastAsia="MS Mincho"/>
          <w:b/>
          <w:bCs/>
        </w:rPr>
        <w:t>Ensur</w:t>
      </w:r>
      <w:r w:rsidR="00B73781" w:rsidRPr="0036222E">
        <w:rPr>
          <w:rFonts w:eastAsia="MS Mincho"/>
          <w:b/>
          <w:bCs/>
        </w:rPr>
        <w:t>e</w:t>
      </w:r>
      <w:r w:rsidRPr="0036222E">
        <w:rPr>
          <w:rFonts w:eastAsia="MS Mincho"/>
          <w:b/>
          <w:bCs/>
        </w:rPr>
        <w:t xml:space="preserve"> that contextual analysis involves communities most affected by content identified as </w:t>
      </w:r>
      <w:r w:rsidR="000B1C08">
        <w:rPr>
          <w:rFonts w:eastAsia="MS Mincho"/>
          <w:b/>
          <w:bCs/>
        </w:rPr>
        <w:t>‘</w:t>
      </w:r>
      <w:r w:rsidRPr="0036222E">
        <w:rPr>
          <w:rFonts w:eastAsia="MS Mincho"/>
          <w:b/>
          <w:bCs/>
        </w:rPr>
        <w:t>hate speech</w:t>
      </w:r>
      <w:r w:rsidR="000B1C08">
        <w:rPr>
          <w:rFonts w:eastAsia="MS Mincho"/>
          <w:b/>
          <w:bCs/>
        </w:rPr>
        <w:t>’</w:t>
      </w:r>
      <w:r w:rsidRPr="0036222E">
        <w:rPr>
          <w:rFonts w:eastAsia="MS Mincho"/>
          <w:b/>
          <w:bCs/>
        </w:rPr>
        <w:t xml:space="preserve"> and that communities are involved in identifying the most effective tools to address harms </w:t>
      </w:r>
      <w:r w:rsidR="000B1C08">
        <w:rPr>
          <w:rFonts w:eastAsia="MS Mincho"/>
          <w:b/>
          <w:bCs/>
        </w:rPr>
        <w:t xml:space="preserve">caused </w:t>
      </w:r>
      <w:r w:rsidRPr="0036222E">
        <w:rPr>
          <w:rFonts w:eastAsia="MS Mincho"/>
          <w:b/>
          <w:bCs/>
        </w:rPr>
        <w:t>on the platforms; and</w:t>
      </w:r>
    </w:p>
    <w:p w14:paraId="2E46542B" w14:textId="27E4C16A" w:rsidR="004A7B92" w:rsidRPr="0036222E" w:rsidRDefault="00B73781" w:rsidP="00F15331">
      <w:pPr>
        <w:pStyle w:val="SingleTxtG"/>
        <w:numPr>
          <w:ilvl w:val="0"/>
          <w:numId w:val="22"/>
        </w:numPr>
        <w:ind w:left="1134" w:firstLine="567"/>
        <w:rPr>
          <w:rFonts w:eastAsia="MS Mincho"/>
          <w:b/>
          <w:bCs/>
        </w:rPr>
      </w:pPr>
      <w:r w:rsidRPr="0036222E">
        <w:rPr>
          <w:rFonts w:eastAsia="MS Mincho"/>
          <w:b/>
          <w:bCs/>
        </w:rPr>
        <w:t>As part of an overall effort to address ‘hate speech,’</w:t>
      </w:r>
      <w:r w:rsidR="001A4E44" w:rsidRPr="0036222E">
        <w:rPr>
          <w:rFonts w:eastAsia="MS Mincho"/>
          <w:b/>
          <w:bCs/>
        </w:rPr>
        <w:t xml:space="preserve"> develop tools that promote individual autonomy</w:t>
      </w:r>
      <w:r w:rsidR="000B1C08">
        <w:rPr>
          <w:rFonts w:eastAsia="MS Mincho"/>
          <w:b/>
          <w:bCs/>
        </w:rPr>
        <w:t xml:space="preserve">, </w:t>
      </w:r>
      <w:r w:rsidR="001A4E44" w:rsidRPr="0036222E">
        <w:rPr>
          <w:rFonts w:eastAsia="MS Mincho"/>
          <w:b/>
          <w:bCs/>
        </w:rPr>
        <w:t>security and free expression</w:t>
      </w:r>
      <w:r w:rsidR="000B1C08">
        <w:rPr>
          <w:rFonts w:eastAsia="MS Mincho"/>
          <w:b/>
          <w:bCs/>
        </w:rPr>
        <w:t>,</w:t>
      </w:r>
      <w:r w:rsidR="001A4E44" w:rsidRPr="0036222E">
        <w:rPr>
          <w:rFonts w:eastAsia="MS Mincho"/>
          <w:b/>
          <w:bCs/>
        </w:rPr>
        <w:t xml:space="preserve"> and involve de-amplification, de-monetization, education, counter-speech, reporting, and training</w:t>
      </w:r>
      <w:r w:rsidR="000B1C08">
        <w:rPr>
          <w:rFonts w:eastAsia="MS Mincho"/>
          <w:b/>
          <w:bCs/>
        </w:rPr>
        <w:t xml:space="preserve"> as alternatives, when appropriate, to account bans and content removals</w:t>
      </w:r>
      <w:r w:rsidR="001A4E44" w:rsidRPr="0036222E">
        <w:rPr>
          <w:rFonts w:eastAsia="MS Mincho"/>
          <w:b/>
          <w:bCs/>
        </w:rPr>
        <w:t>.</w:t>
      </w:r>
    </w:p>
    <w:p w14:paraId="5B17D441" w14:textId="40E790F6" w:rsidR="009F63FC" w:rsidRPr="009F63FC" w:rsidRDefault="009F63FC" w:rsidP="009F63FC">
      <w:pPr>
        <w:pStyle w:val="SingleTxtG"/>
        <w:spacing w:before="240" w:after="0"/>
        <w:jc w:val="center"/>
        <w:rPr>
          <w:bCs/>
          <w:u w:val="single"/>
        </w:rPr>
      </w:pPr>
      <w:r>
        <w:rPr>
          <w:u w:val="single"/>
        </w:rPr>
        <w:tab/>
      </w:r>
      <w:r>
        <w:rPr>
          <w:u w:val="single"/>
        </w:rPr>
        <w:tab/>
      </w:r>
      <w:r>
        <w:rPr>
          <w:u w:val="single"/>
        </w:rPr>
        <w:tab/>
      </w:r>
      <w:r w:rsidR="00F15331">
        <w:rPr>
          <w:u w:val="single"/>
        </w:rPr>
        <w:tab/>
      </w:r>
    </w:p>
    <w:sectPr w:rsidR="009F63FC" w:rsidRPr="009F63FC" w:rsidSect="00BC445C">
      <w:headerReference w:type="even" r:id="rId18"/>
      <w:headerReference w:type="default" r:id="rId19"/>
      <w:footerReference w:type="even" r:id="rId20"/>
      <w:footerReference w:type="default" r:id="rId21"/>
      <w:endnotePr>
        <w:numFmt w:val="decimal"/>
      </w:endnotePr>
      <w:pgSz w:w="11907" w:h="16840" w:code="9"/>
      <w:pgMar w:top="1418" w:right="1134" w:bottom="1134" w:left="1134" w:header="851"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EEF42" w16cid:durableId="2144F105"/>
  <w16cid:commentId w16cid:paraId="2B057BE9" w16cid:durableId="2144449B"/>
  <w16cid:commentId w16cid:paraId="788C437E" w16cid:durableId="21448C12"/>
  <w16cid:commentId w16cid:paraId="3ED864D5" w16cid:durableId="2144449C"/>
  <w16cid:commentId w16cid:paraId="07C87E1A" w16cid:durableId="21449652"/>
  <w16cid:commentId w16cid:paraId="4039E5A5" w16cid:durableId="2144449D"/>
  <w16cid:commentId w16cid:paraId="4A0A73E5" w16cid:durableId="21448CCB"/>
  <w16cid:commentId w16cid:paraId="0A561F01" w16cid:durableId="2144449E"/>
  <w16cid:commentId w16cid:paraId="36B841A9" w16cid:durableId="21448EA7"/>
  <w16cid:commentId w16cid:paraId="02EA8ACB" w16cid:durableId="2144449F"/>
  <w16cid:commentId w16cid:paraId="61019A0C" w16cid:durableId="21448EA1"/>
  <w16cid:commentId w16cid:paraId="264DF317" w16cid:durableId="214444A0"/>
  <w16cid:commentId w16cid:paraId="11964E3C" w16cid:durableId="2144913B"/>
  <w16cid:commentId w16cid:paraId="69FF0DFE" w16cid:durableId="214491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19563" w14:textId="77777777" w:rsidR="00A043C9" w:rsidRDefault="00A043C9"/>
  </w:endnote>
  <w:endnote w:type="continuationSeparator" w:id="0">
    <w:p w14:paraId="7E99FD54" w14:textId="77777777" w:rsidR="00A043C9" w:rsidRDefault="00A043C9"/>
  </w:endnote>
  <w:endnote w:type="continuationNotice" w:id="1">
    <w:p w14:paraId="1B3472E7" w14:textId="77777777" w:rsidR="00A043C9" w:rsidRDefault="00A04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mPrasanmit">
    <w:altName w:val="Calibri"/>
    <w:panose1 w:val="00000000000000000000"/>
    <w:charset w:val="00"/>
    <w:family w:val="swiss"/>
    <w:notTrueType/>
    <w:pitch w:val="default"/>
    <w:sig w:usb0="00000003" w:usb1="00000000" w:usb2="00000000" w:usb3="00000000" w:csb0="00000001" w:csb1="00000000"/>
  </w:font>
  <w:font w:name="TitilliumMaps29L">
    <w:altName w:val="Cambria"/>
    <w:panose1 w:val="00000000000000000000"/>
    <w:charset w:val="00"/>
    <w:family w:val="swiss"/>
    <w:notTrueType/>
    <w:pitch w:val="default"/>
    <w:sig w:usb0="00000003" w:usb1="00000000" w:usb2="00000000" w:usb3="00000000" w:csb0="00000001"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BB10A" w14:textId="7A3EA550" w:rsidR="001A4E44" w:rsidRPr="009D108A" w:rsidRDefault="001A4E44" w:rsidP="009D108A">
    <w:pPr>
      <w:pStyle w:val="Footer"/>
      <w:tabs>
        <w:tab w:val="right" w:pos="9638"/>
      </w:tabs>
    </w:pPr>
    <w:r>
      <w:fldChar w:fldCharType="begin"/>
    </w:r>
    <w:r>
      <w:instrText xml:space="preserve"> PAGE  \* MERGEFORMAT </w:instrText>
    </w:r>
    <w:r>
      <w:fldChar w:fldCharType="separate"/>
    </w:r>
    <w:r w:rsidR="008C33C0" w:rsidRPr="008C33C0">
      <w:rPr>
        <w:b/>
        <w:noProof/>
        <w:sz w:val="18"/>
      </w:rPr>
      <w:t>8</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92BE7" w14:textId="5099AC9F" w:rsidR="001A4E44" w:rsidRPr="009D108A" w:rsidRDefault="001A4E44" w:rsidP="009D108A">
    <w:pPr>
      <w:pStyle w:val="Footer"/>
      <w:tabs>
        <w:tab w:val="right" w:pos="9638"/>
      </w:tabs>
      <w:rPr>
        <w:b/>
        <w:sz w:val="18"/>
      </w:rPr>
    </w:pPr>
    <w:r>
      <w:tab/>
    </w:r>
    <w:r>
      <w:fldChar w:fldCharType="begin"/>
    </w:r>
    <w:r>
      <w:instrText xml:space="preserve"> PAGE  \* MERGEFORMAT </w:instrText>
    </w:r>
    <w:r>
      <w:fldChar w:fldCharType="separate"/>
    </w:r>
    <w:r w:rsidR="008C33C0" w:rsidRPr="008C33C0">
      <w:rPr>
        <w:b/>
        <w:noProof/>
        <w:sz w:val="18"/>
      </w:rPr>
      <w:t>7</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2847" w14:textId="77777777" w:rsidR="00A043C9" w:rsidRPr="000B175B" w:rsidRDefault="00A043C9" w:rsidP="000B175B">
      <w:pPr>
        <w:tabs>
          <w:tab w:val="right" w:pos="2155"/>
        </w:tabs>
        <w:spacing w:after="80"/>
        <w:ind w:left="680"/>
        <w:rPr>
          <w:u w:val="single"/>
        </w:rPr>
      </w:pPr>
      <w:r>
        <w:rPr>
          <w:u w:val="single"/>
        </w:rPr>
        <w:tab/>
      </w:r>
    </w:p>
  </w:footnote>
  <w:footnote w:type="continuationSeparator" w:id="0">
    <w:p w14:paraId="0ECCC754" w14:textId="77777777" w:rsidR="00A043C9" w:rsidRPr="00FC68B7" w:rsidRDefault="00A043C9" w:rsidP="00FC68B7">
      <w:pPr>
        <w:tabs>
          <w:tab w:val="left" w:pos="2155"/>
        </w:tabs>
        <w:spacing w:after="80"/>
        <w:ind w:left="680"/>
        <w:rPr>
          <w:u w:val="single"/>
        </w:rPr>
      </w:pPr>
      <w:r>
        <w:rPr>
          <w:u w:val="single"/>
        </w:rPr>
        <w:tab/>
      </w:r>
    </w:p>
  </w:footnote>
  <w:footnote w:type="continuationNotice" w:id="1">
    <w:p w14:paraId="7BDA3B35" w14:textId="77777777" w:rsidR="00A043C9" w:rsidRDefault="00A043C9"/>
  </w:footnote>
  <w:footnote w:id="2">
    <w:p w14:paraId="5B873C79" w14:textId="2F89F5F1" w:rsidR="001A4E44" w:rsidRPr="006E0172" w:rsidRDefault="001A4E44">
      <w:pPr>
        <w:pStyle w:val="FootnoteText"/>
        <w:rPr>
          <w:lang w:val="en-GB"/>
        </w:rPr>
      </w:pPr>
      <w:r>
        <w:rPr>
          <w:rStyle w:val="FootnoteReference"/>
        </w:rPr>
        <w:tab/>
      </w:r>
      <w:r w:rsidRPr="006E0172">
        <w:rPr>
          <w:rStyle w:val="FootnoteReference"/>
          <w:sz w:val="20"/>
          <w:vertAlign w:val="baseline"/>
        </w:rPr>
        <w:t>*</w:t>
      </w:r>
      <w:r>
        <w:rPr>
          <w:rStyle w:val="FootnoteReference"/>
          <w:sz w:val="20"/>
          <w:vertAlign w:val="baseline"/>
        </w:rPr>
        <w:tab/>
      </w:r>
      <w:r>
        <w:rPr>
          <w:sz w:val="20"/>
        </w:rPr>
        <w:t>A/</w:t>
      </w:r>
      <w:r>
        <w:t>74/50</w:t>
      </w:r>
      <w:r w:rsidR="00F15331">
        <w:t>.</w:t>
      </w:r>
    </w:p>
  </w:footnote>
  <w:footnote w:id="3">
    <w:p w14:paraId="6E27D761" w14:textId="1C1C144C" w:rsidR="001A4E44" w:rsidRPr="005669EC" w:rsidRDefault="001A4E44">
      <w:pPr>
        <w:pStyle w:val="FootnoteText"/>
        <w:rPr>
          <w:lang w:val="en-GB"/>
        </w:rPr>
      </w:pPr>
      <w:r>
        <w:rPr>
          <w:rStyle w:val="FootnoteReference"/>
        </w:rPr>
        <w:tab/>
      </w:r>
      <w:r w:rsidRPr="005669EC">
        <w:rPr>
          <w:rStyle w:val="FootnoteReference"/>
          <w:sz w:val="20"/>
          <w:vertAlign w:val="baseline"/>
        </w:rPr>
        <w:t>**</w:t>
      </w:r>
      <w:r>
        <w:rPr>
          <w:rStyle w:val="FootnoteReference"/>
          <w:sz w:val="20"/>
          <w:vertAlign w:val="baseline"/>
        </w:rPr>
        <w:tab/>
      </w:r>
      <w:r w:rsidR="00766D71" w:rsidRPr="00766D71">
        <w:t>The present report was submitted after the deadline in order to reflect recent developments</w:t>
      </w:r>
      <w:r w:rsidR="00F15331">
        <w:t>.</w:t>
      </w:r>
    </w:p>
  </w:footnote>
  <w:footnote w:id="4">
    <w:p w14:paraId="097E93E3" w14:textId="5BC631DA" w:rsidR="001A4E44" w:rsidRPr="00BF618C" w:rsidRDefault="00262C24" w:rsidP="00BF618C">
      <w:pPr>
        <w:pStyle w:val="FootnoteText"/>
        <w:spacing w:before="120" w:after="120" w:line="240" w:lineRule="auto"/>
      </w:pPr>
      <w:r>
        <w:tab/>
      </w:r>
      <w:r w:rsidR="001A4E44" w:rsidRPr="00BF618C">
        <w:rPr>
          <w:vertAlign w:val="superscript"/>
        </w:rPr>
        <w:footnoteRef/>
      </w:r>
      <w:r w:rsidRPr="00BF618C">
        <w:rPr>
          <w:vertAlign w:val="superscript"/>
        </w:rPr>
        <w:tab/>
      </w:r>
      <w:r w:rsidR="001A4E44" w:rsidRPr="00BF618C">
        <w:t>A/HRC/38/35, para. 45. This report uses ‘hate speech’</w:t>
      </w:r>
      <w:r w:rsidR="007608E5">
        <w:t xml:space="preserve"> </w:t>
      </w:r>
      <w:r w:rsidR="001A4E44" w:rsidRPr="00BF618C">
        <w:t xml:space="preserve">to refer to obligations and limitations in human rights law that do not use that particular term. See generally Susan Benesch, </w:t>
      </w:r>
      <w:r w:rsidR="001A4E44" w:rsidRPr="007608E5">
        <w:rPr>
          <w:i/>
          <w:iCs/>
        </w:rPr>
        <w:t>Proposals for Improved Regulation of Harmful Online Content</w:t>
      </w:r>
      <w:r w:rsidR="001A4E44" w:rsidRPr="00BF618C">
        <w:t xml:space="preserve">, Paper for the Israel Democracy Institute (2019). Benesch coined a sibling term, ‘dangerous speech’, to identify a “capacity to catalyze violence by one group against another.” See Benesch, </w:t>
      </w:r>
      <w:hyperlink r:id="rId1" w:history="1">
        <w:r w:rsidR="001A4E44" w:rsidRPr="002208DA">
          <w:rPr>
            <w:i/>
            <w:iCs/>
          </w:rPr>
          <w:t>Dangerous Speech: A Proposal to Prevent Group Violence</w:t>
        </w:r>
      </w:hyperlink>
      <w:r w:rsidR="001A4E44" w:rsidRPr="00BF618C">
        <w:t xml:space="preserve"> (2013).</w:t>
      </w:r>
    </w:p>
  </w:footnote>
  <w:footnote w:id="5">
    <w:p w14:paraId="57FC1174" w14:textId="7CD6C74A" w:rsidR="001A4E44" w:rsidRPr="00BF618C" w:rsidRDefault="00262C24" w:rsidP="00BF618C">
      <w:pPr>
        <w:pStyle w:val="FootnoteText"/>
        <w:spacing w:before="120" w:after="120" w:line="240" w:lineRule="auto"/>
      </w:pPr>
      <w:r w:rsidRPr="00BF618C">
        <w:rPr>
          <w:vertAlign w:val="superscript"/>
        </w:rPr>
        <w:tab/>
      </w:r>
      <w:r w:rsidR="001A4E44" w:rsidRPr="00BF618C">
        <w:rPr>
          <w:vertAlign w:val="superscript"/>
        </w:rPr>
        <w:footnoteRef/>
      </w:r>
      <w:r w:rsidRPr="00BF618C">
        <w:rPr>
          <w:vertAlign w:val="superscript"/>
        </w:rPr>
        <w:tab/>
      </w:r>
      <w:r w:rsidR="001A4E44" w:rsidRPr="00BF618C">
        <w:t xml:space="preserve">See </w:t>
      </w:r>
      <w:hyperlink r:id="rId2" w:history="1">
        <w:r w:rsidR="001A4E44" w:rsidRPr="00DF61F6">
          <w:rPr>
            <w:rStyle w:val="Hyperlink"/>
          </w:rPr>
          <w:t>A/HRC/29/32</w:t>
        </w:r>
      </w:hyperlink>
      <w:r w:rsidR="001A4E44" w:rsidRPr="00BF618C">
        <w:t xml:space="preserve"> (encryption and anonymity), </w:t>
      </w:r>
      <w:hyperlink r:id="rId3" w:history="1">
        <w:r w:rsidR="001A4E44" w:rsidRPr="00DF61F6">
          <w:rPr>
            <w:rStyle w:val="Hyperlink"/>
          </w:rPr>
          <w:t>A/HRC/32/38</w:t>
        </w:r>
      </w:hyperlink>
      <w:r w:rsidR="001A4E44" w:rsidRPr="00BF618C">
        <w:t xml:space="preserve"> (mapping the ICT sector’s impact on rights), </w:t>
      </w:r>
      <w:hyperlink r:id="rId4" w:history="1">
        <w:r w:rsidR="001A4E44" w:rsidRPr="00DF61F6">
          <w:rPr>
            <w:rStyle w:val="Hyperlink"/>
          </w:rPr>
          <w:t>A/HRC/35/22</w:t>
        </w:r>
      </w:hyperlink>
      <w:r w:rsidR="001A4E44" w:rsidRPr="00BF618C">
        <w:t xml:space="preserve"> (the digital access industry), </w:t>
      </w:r>
      <w:hyperlink r:id="rId5" w:history="1">
        <w:r w:rsidR="001A4E44" w:rsidRPr="00DF61F6">
          <w:rPr>
            <w:rStyle w:val="Hyperlink"/>
          </w:rPr>
          <w:t>A/HRC/38/35</w:t>
        </w:r>
      </w:hyperlink>
      <w:r w:rsidR="001A4E44" w:rsidRPr="00BF618C">
        <w:t xml:space="preserve"> (online content moderation), and </w:t>
      </w:r>
      <w:hyperlink r:id="rId6" w:history="1">
        <w:r w:rsidR="001A4E44" w:rsidRPr="00DF61F6">
          <w:rPr>
            <w:rStyle w:val="Hyperlink"/>
          </w:rPr>
          <w:t>A/73/348</w:t>
        </w:r>
      </w:hyperlink>
      <w:r w:rsidR="001A4E44" w:rsidRPr="00BF618C">
        <w:t xml:space="preserve"> (Artificial Intelligence and human rights).</w:t>
      </w:r>
    </w:p>
  </w:footnote>
  <w:footnote w:id="6">
    <w:p w14:paraId="7C366C7F" w14:textId="77777777" w:rsidR="001A4E44" w:rsidRPr="00167FBE" w:rsidRDefault="00262C24" w:rsidP="001A4E44">
      <w:pPr>
        <w:pStyle w:val="FootnoteText"/>
        <w:spacing w:before="120" w:after="120" w:line="240" w:lineRule="auto"/>
        <w:ind w:right="-81"/>
      </w:pPr>
      <w:r>
        <w:tab/>
      </w:r>
      <w:r w:rsidR="001A4E44">
        <w:rPr>
          <w:rStyle w:val="FootnoteReference"/>
        </w:rPr>
        <w:footnoteRef/>
      </w:r>
      <w:r>
        <w:tab/>
      </w:r>
      <w:r w:rsidR="001A4E44">
        <w:t xml:space="preserve">See especially Special Rapporteur Frank La Rue’s report on hate speech: </w:t>
      </w:r>
      <w:hyperlink r:id="rId7" w:history="1">
        <w:r w:rsidR="001A4E44" w:rsidRPr="006E32AA">
          <w:rPr>
            <w:rStyle w:val="Hyperlink"/>
          </w:rPr>
          <w:t>A/67/357</w:t>
        </w:r>
      </w:hyperlink>
      <w:r w:rsidR="001A4E44">
        <w:t xml:space="preserve"> (2012). </w:t>
      </w:r>
    </w:p>
  </w:footnote>
  <w:footnote w:id="7">
    <w:p w14:paraId="4EED50C7" w14:textId="2EAE5577" w:rsidR="001A4E44" w:rsidRPr="00250B4D" w:rsidRDefault="00262C24" w:rsidP="001A4E44">
      <w:pPr>
        <w:pStyle w:val="FootnoteText"/>
        <w:spacing w:before="120" w:after="120" w:line="240" w:lineRule="auto"/>
        <w:rPr>
          <w:lang w:val="es-MX"/>
        </w:rPr>
      </w:pPr>
      <w:r>
        <w:tab/>
      </w:r>
      <w:r w:rsidR="001A4E44">
        <w:rPr>
          <w:rStyle w:val="FootnoteReference"/>
        </w:rPr>
        <w:footnoteRef/>
      </w:r>
      <w:r w:rsidRPr="00250B4D">
        <w:rPr>
          <w:lang w:val="es-MX"/>
        </w:rPr>
        <w:tab/>
      </w:r>
      <w:r w:rsidR="007608E5" w:rsidRPr="00250B4D">
        <w:rPr>
          <w:lang w:val="es-MX"/>
        </w:rPr>
        <w:t>Id.</w:t>
      </w:r>
      <w:r w:rsidR="001A4E44" w:rsidRPr="00250B4D">
        <w:rPr>
          <w:lang w:val="es-MX"/>
        </w:rPr>
        <w:t>, para</w:t>
      </w:r>
      <w:r w:rsidR="0036222E" w:rsidRPr="00250B4D">
        <w:rPr>
          <w:lang w:val="es-MX"/>
        </w:rPr>
        <w:t>.</w:t>
      </w:r>
      <w:r w:rsidR="001A4E44" w:rsidRPr="00250B4D">
        <w:rPr>
          <w:lang w:val="es-MX"/>
        </w:rPr>
        <w:t xml:space="preserve"> 51 – 54.</w:t>
      </w:r>
    </w:p>
  </w:footnote>
  <w:footnote w:id="8">
    <w:p w14:paraId="2B27F9E8" w14:textId="40943811" w:rsidR="001A4E44" w:rsidRPr="00250B4D" w:rsidRDefault="00262C24" w:rsidP="00BF618C">
      <w:pPr>
        <w:pStyle w:val="FootnoteText"/>
        <w:spacing w:before="120" w:after="120" w:line="240" w:lineRule="auto"/>
        <w:rPr>
          <w:szCs w:val="18"/>
          <w:lang w:val="es-MX"/>
        </w:rPr>
      </w:pPr>
      <w:r w:rsidRPr="00250B4D">
        <w:rPr>
          <w:szCs w:val="18"/>
          <w:lang w:val="es-MX"/>
        </w:rPr>
        <w:tab/>
      </w:r>
      <w:r w:rsidR="001A4E44" w:rsidRPr="00BF618C">
        <w:rPr>
          <w:rStyle w:val="FootnoteReference"/>
        </w:rPr>
        <w:footnoteRef/>
      </w:r>
      <w:r w:rsidRPr="00250B4D">
        <w:rPr>
          <w:rStyle w:val="FootnoteReference"/>
          <w:lang w:val="es-MX"/>
        </w:rPr>
        <w:tab/>
      </w:r>
      <w:r w:rsidR="001A4E44" w:rsidRPr="00250B4D">
        <w:rPr>
          <w:rStyle w:val="FootnoteReference"/>
          <w:vertAlign w:val="baseline"/>
          <w:lang w:val="es-MX"/>
        </w:rPr>
        <w:t xml:space="preserve">See, e.g., </w:t>
      </w:r>
      <w:hyperlink r:id="rId8" w:history="1">
        <w:r w:rsidR="001A4E44" w:rsidRPr="00250B4D">
          <w:rPr>
            <w:rStyle w:val="FootnoteReference"/>
            <w:vertAlign w:val="baseline"/>
            <w:lang w:val="es-MX"/>
          </w:rPr>
          <w:t>C</w:t>
        </w:r>
        <w:r w:rsidR="003C04D0" w:rsidRPr="00250B4D">
          <w:rPr>
            <w:rStyle w:val="FootnoteReference"/>
            <w:vertAlign w:val="baseline"/>
            <w:lang w:val="es-MX"/>
          </w:rPr>
          <w:t>onvention on the Elimination of All Forms of Racial Discrimination</w:t>
        </w:r>
      </w:hyperlink>
      <w:r w:rsidR="003C04D0" w:rsidRPr="00250B4D">
        <w:rPr>
          <w:lang w:val="es-MX"/>
        </w:rPr>
        <w:t xml:space="preserve"> (CERD)</w:t>
      </w:r>
      <w:r w:rsidR="001A4E44" w:rsidRPr="00250B4D">
        <w:rPr>
          <w:rStyle w:val="FootnoteReference"/>
          <w:vertAlign w:val="baseline"/>
          <w:lang w:val="es-MX"/>
        </w:rPr>
        <w:t xml:space="preserve">, Article 5; </w:t>
      </w:r>
      <w:hyperlink r:id="rId9" w:history="1">
        <w:r w:rsidR="001A4E44" w:rsidRPr="00250B4D">
          <w:rPr>
            <w:rStyle w:val="FootnoteReference"/>
            <w:vertAlign w:val="baseline"/>
            <w:lang w:val="es-MX"/>
          </w:rPr>
          <w:t>C</w:t>
        </w:r>
        <w:r w:rsidR="003C04D0" w:rsidRPr="00250B4D">
          <w:rPr>
            <w:rStyle w:val="FootnoteReference"/>
            <w:vertAlign w:val="baseline"/>
            <w:lang w:val="es-MX"/>
          </w:rPr>
          <w:t>onvention on the Rights of the Child (C</w:t>
        </w:r>
        <w:r w:rsidR="001A4E44" w:rsidRPr="00250B4D">
          <w:rPr>
            <w:rStyle w:val="FootnoteReference"/>
            <w:vertAlign w:val="baseline"/>
            <w:lang w:val="es-MX"/>
          </w:rPr>
          <w:t>RC</w:t>
        </w:r>
      </w:hyperlink>
      <w:r w:rsidR="003C04D0" w:rsidRPr="00250B4D">
        <w:rPr>
          <w:rStyle w:val="FootnoteReference"/>
          <w:vertAlign w:val="baseline"/>
          <w:lang w:val="es-MX"/>
        </w:rPr>
        <w:t>)</w:t>
      </w:r>
      <w:r w:rsidR="001A4E44" w:rsidRPr="00250B4D">
        <w:rPr>
          <w:rStyle w:val="FootnoteReference"/>
          <w:vertAlign w:val="baseline"/>
          <w:lang w:val="es-MX"/>
        </w:rPr>
        <w:t xml:space="preserve">, Article 13; </w:t>
      </w:r>
      <w:hyperlink r:id="rId10" w:anchor="21" w:history="1">
        <w:r w:rsidR="001A4E44" w:rsidRPr="00250B4D">
          <w:rPr>
            <w:rStyle w:val="FootnoteReference"/>
            <w:vertAlign w:val="baseline"/>
            <w:lang w:val="es-MX"/>
          </w:rPr>
          <w:t>C</w:t>
        </w:r>
        <w:r w:rsidR="003C04D0" w:rsidRPr="00250B4D">
          <w:rPr>
            <w:rStyle w:val="FootnoteReference"/>
            <w:vertAlign w:val="baseline"/>
            <w:lang w:val="es-MX"/>
          </w:rPr>
          <w:t>onvention on the Rights of Persons with Disabilities (C</w:t>
        </w:r>
        <w:r w:rsidR="001A4E44" w:rsidRPr="00250B4D">
          <w:rPr>
            <w:rStyle w:val="FootnoteReference"/>
            <w:vertAlign w:val="baseline"/>
            <w:lang w:val="es-MX"/>
          </w:rPr>
          <w:t>RPD</w:t>
        </w:r>
      </w:hyperlink>
      <w:r w:rsidR="003C04D0" w:rsidRPr="00250B4D">
        <w:rPr>
          <w:rStyle w:val="FootnoteReference"/>
          <w:vertAlign w:val="baseline"/>
          <w:lang w:val="es-MX"/>
        </w:rPr>
        <w:t>)</w:t>
      </w:r>
      <w:r w:rsidR="001A4E44" w:rsidRPr="00250B4D">
        <w:rPr>
          <w:rStyle w:val="FootnoteReference"/>
          <w:vertAlign w:val="baseline"/>
          <w:lang w:val="es-MX"/>
        </w:rPr>
        <w:t xml:space="preserve">, Article 21; </w:t>
      </w:r>
      <w:hyperlink r:id="rId11" w:history="1">
        <w:r w:rsidR="001A4E44" w:rsidRPr="00250B4D">
          <w:rPr>
            <w:rStyle w:val="FootnoteReference"/>
            <w:vertAlign w:val="baseline"/>
            <w:lang w:val="es-MX"/>
          </w:rPr>
          <w:t>I</w:t>
        </w:r>
        <w:r w:rsidR="003C04D0" w:rsidRPr="00250B4D">
          <w:rPr>
            <w:rStyle w:val="FootnoteReference"/>
            <w:vertAlign w:val="baseline"/>
            <w:lang w:val="es-MX"/>
          </w:rPr>
          <w:t>nternational Convention on the Protection of Rights of All Migrant Workers (I</w:t>
        </w:r>
        <w:r w:rsidR="001A4E44" w:rsidRPr="00250B4D">
          <w:rPr>
            <w:rStyle w:val="FootnoteReference"/>
            <w:vertAlign w:val="baseline"/>
            <w:lang w:val="es-MX"/>
          </w:rPr>
          <w:t>CPMW</w:t>
        </w:r>
      </w:hyperlink>
      <w:r w:rsidR="003C04D0" w:rsidRPr="00250B4D">
        <w:rPr>
          <w:rStyle w:val="FootnoteReference"/>
          <w:vertAlign w:val="baseline"/>
          <w:lang w:val="es-MX"/>
        </w:rPr>
        <w:t>)</w:t>
      </w:r>
      <w:r w:rsidR="001A4E44" w:rsidRPr="00250B4D">
        <w:rPr>
          <w:rStyle w:val="FootnoteReference"/>
          <w:vertAlign w:val="baseline"/>
          <w:lang w:val="es-MX"/>
        </w:rPr>
        <w:t xml:space="preserve">, Article 13; </w:t>
      </w:r>
      <w:hyperlink r:id="rId12" w:history="1">
        <w:r w:rsidR="001A4E44" w:rsidRPr="00250B4D">
          <w:rPr>
            <w:rStyle w:val="FootnoteReference"/>
            <w:vertAlign w:val="baseline"/>
            <w:lang w:val="es-MX"/>
          </w:rPr>
          <w:t>American Convention on Human Rights</w:t>
        </w:r>
      </w:hyperlink>
      <w:r w:rsidR="001A4E44" w:rsidRPr="00250B4D">
        <w:rPr>
          <w:rStyle w:val="FootnoteReference"/>
          <w:vertAlign w:val="baseline"/>
          <w:lang w:val="es-MX"/>
        </w:rPr>
        <w:t xml:space="preserve">, Article 13; </w:t>
      </w:r>
      <w:hyperlink r:id="rId13" w:history="1">
        <w:r w:rsidR="001A4E44" w:rsidRPr="00250B4D">
          <w:rPr>
            <w:rStyle w:val="FootnoteReference"/>
            <w:vertAlign w:val="baseline"/>
            <w:lang w:val="es-MX"/>
          </w:rPr>
          <w:t>African Charter on Human and People’s Rights</w:t>
        </w:r>
      </w:hyperlink>
      <w:r w:rsidR="001A4E44" w:rsidRPr="00250B4D">
        <w:rPr>
          <w:rStyle w:val="FootnoteReference"/>
          <w:vertAlign w:val="baseline"/>
          <w:lang w:val="es-MX"/>
        </w:rPr>
        <w:t xml:space="preserve">, Article 9; </w:t>
      </w:r>
      <w:hyperlink r:id="rId14" w:history="1">
        <w:r w:rsidR="001A4E44" w:rsidRPr="00250B4D">
          <w:rPr>
            <w:rStyle w:val="FootnoteReference"/>
            <w:vertAlign w:val="baseline"/>
            <w:lang w:val="es-MX"/>
          </w:rPr>
          <w:t>European Convention on Human Rights</w:t>
        </w:r>
      </w:hyperlink>
      <w:r w:rsidR="001A4E44" w:rsidRPr="00250B4D">
        <w:rPr>
          <w:rStyle w:val="FootnoteReference"/>
          <w:vertAlign w:val="baseline"/>
          <w:lang w:val="es-MX"/>
        </w:rPr>
        <w:t>, Article 10.</w:t>
      </w:r>
    </w:p>
  </w:footnote>
  <w:footnote w:id="9">
    <w:p w14:paraId="37AAF4DA" w14:textId="2E22DDF6" w:rsidR="001A4E44" w:rsidRPr="00766D71" w:rsidRDefault="00262C24" w:rsidP="001A4E44">
      <w:pPr>
        <w:pStyle w:val="FootnoteText"/>
        <w:spacing w:before="120" w:after="120" w:line="240" w:lineRule="auto"/>
        <w:rPr>
          <w:lang w:val="en-GB"/>
        </w:rPr>
      </w:pPr>
      <w:r w:rsidRPr="00250B4D">
        <w:rPr>
          <w:lang w:val="es-MX"/>
        </w:rPr>
        <w:tab/>
      </w:r>
      <w:r w:rsidR="001A4E44">
        <w:rPr>
          <w:rStyle w:val="FootnoteReference"/>
        </w:rPr>
        <w:footnoteRef/>
      </w:r>
      <w:r w:rsidRPr="002138E6">
        <w:rPr>
          <w:lang w:val="en-GB"/>
        </w:rPr>
        <w:tab/>
      </w:r>
      <w:r w:rsidR="001A4E44" w:rsidRPr="002138E6">
        <w:rPr>
          <w:lang w:val="en-GB"/>
        </w:rPr>
        <w:t xml:space="preserve">General Comment 34, CCPR/C/GC/34, para. </w:t>
      </w:r>
      <w:r w:rsidR="001A4E44" w:rsidRPr="00766D71">
        <w:rPr>
          <w:lang w:val="en-GB"/>
        </w:rPr>
        <w:t>2</w:t>
      </w:r>
      <w:r w:rsidR="002138E6" w:rsidRPr="00766D71">
        <w:rPr>
          <w:lang w:val="en-GB"/>
        </w:rPr>
        <w:t xml:space="preserve"> (hereinafter “General Comment 34”)</w:t>
      </w:r>
      <w:r w:rsidR="001A4E44" w:rsidRPr="00766D71">
        <w:rPr>
          <w:lang w:val="en-GB"/>
        </w:rPr>
        <w:t>.</w:t>
      </w:r>
    </w:p>
  </w:footnote>
  <w:footnote w:id="10">
    <w:p w14:paraId="34801DAF" w14:textId="42421C99" w:rsidR="001A4E44" w:rsidRPr="002138E6" w:rsidRDefault="00262C24" w:rsidP="001A4E44">
      <w:pPr>
        <w:pStyle w:val="FootnoteText"/>
        <w:spacing w:before="120" w:after="120" w:line="240" w:lineRule="auto"/>
        <w:rPr>
          <w:lang w:val="fr-FR"/>
        </w:rPr>
      </w:pPr>
      <w:r w:rsidRPr="00766D71">
        <w:rPr>
          <w:lang w:val="en-GB"/>
        </w:rPr>
        <w:tab/>
      </w:r>
      <w:r w:rsidR="001A4E44">
        <w:rPr>
          <w:rStyle w:val="FootnoteReference"/>
        </w:rPr>
        <w:footnoteRef/>
      </w:r>
      <w:r w:rsidRPr="002138E6">
        <w:rPr>
          <w:lang w:val="fr-FR"/>
        </w:rPr>
        <w:tab/>
      </w:r>
      <w:r w:rsidR="001A4E44" w:rsidRPr="002138E6">
        <w:rPr>
          <w:lang w:val="fr-FR"/>
        </w:rPr>
        <w:t>Id., para</w:t>
      </w:r>
      <w:r w:rsidR="0036222E">
        <w:rPr>
          <w:lang w:val="fr-FR"/>
        </w:rPr>
        <w:t>.</w:t>
      </w:r>
      <w:r w:rsidR="001A4E44" w:rsidRPr="002138E6">
        <w:rPr>
          <w:lang w:val="fr-FR"/>
        </w:rPr>
        <w:t xml:space="preserve"> 4</w:t>
      </w:r>
      <w:r w:rsidR="00B55163">
        <w:rPr>
          <w:lang w:val="fr-FR"/>
        </w:rPr>
        <w:t>. See also p</w:t>
      </w:r>
      <w:r w:rsidR="00B55163" w:rsidRPr="00C4115F">
        <w:rPr>
          <w:lang w:val="fr-FR"/>
        </w:rPr>
        <w:t>ara</w:t>
      </w:r>
      <w:r w:rsidR="0036222E">
        <w:rPr>
          <w:lang w:val="fr-FR"/>
        </w:rPr>
        <w:t>.</w:t>
      </w:r>
      <w:r w:rsidR="00B55163" w:rsidRPr="00C4115F">
        <w:rPr>
          <w:lang w:val="fr-FR"/>
        </w:rPr>
        <w:t xml:space="preserve"> 5-6</w:t>
      </w:r>
      <w:r w:rsidR="00B55163">
        <w:rPr>
          <w:lang w:val="fr-FR"/>
        </w:rPr>
        <w:t>.</w:t>
      </w:r>
    </w:p>
  </w:footnote>
  <w:footnote w:id="11">
    <w:p w14:paraId="34CA4F92" w14:textId="07B85A0A" w:rsidR="001A4E44" w:rsidRPr="002138E6" w:rsidRDefault="00262C24" w:rsidP="00BF618C">
      <w:pPr>
        <w:pStyle w:val="FootnoteText"/>
        <w:spacing w:before="120" w:after="120" w:line="240" w:lineRule="auto"/>
        <w:rPr>
          <w:rStyle w:val="FootnoteReference"/>
          <w:lang w:val="fr-FR"/>
        </w:rPr>
      </w:pPr>
      <w:r w:rsidRPr="002138E6">
        <w:rPr>
          <w:szCs w:val="18"/>
          <w:lang w:val="fr-FR"/>
        </w:rPr>
        <w:tab/>
      </w:r>
      <w:r w:rsidR="001A4E44" w:rsidRPr="00BF618C">
        <w:rPr>
          <w:rStyle w:val="FootnoteReference"/>
        </w:rPr>
        <w:footnoteRef/>
      </w:r>
      <w:r w:rsidRPr="002138E6">
        <w:rPr>
          <w:rStyle w:val="FootnoteReference"/>
          <w:lang w:val="fr-FR"/>
        </w:rPr>
        <w:tab/>
      </w:r>
      <w:r w:rsidR="00F16D27">
        <w:rPr>
          <w:rStyle w:val="FootnoteReference"/>
          <w:vertAlign w:val="baseline"/>
          <w:lang w:val="fr-FR"/>
        </w:rPr>
        <w:t>I</w:t>
      </w:r>
      <w:r w:rsidR="00F16D27">
        <w:rPr>
          <w:lang w:val="fr-FR"/>
        </w:rPr>
        <w:t>d.</w:t>
      </w:r>
      <w:r w:rsidR="001A4E44" w:rsidRPr="002138E6">
        <w:rPr>
          <w:rStyle w:val="FootnoteReference"/>
          <w:vertAlign w:val="baseline"/>
          <w:lang w:val="fr-FR"/>
        </w:rPr>
        <w:t>, para. 21</w:t>
      </w:r>
      <w:r w:rsidR="00DA67C8" w:rsidRPr="002138E6">
        <w:rPr>
          <w:lang w:val="fr-FR"/>
        </w:rPr>
        <w:t>.T</w:t>
      </w:r>
      <w:r w:rsidR="001A4E44" w:rsidRPr="002138E6">
        <w:rPr>
          <w:rStyle w:val="FootnoteReference"/>
          <w:vertAlign w:val="baseline"/>
          <w:lang w:val="fr-FR"/>
        </w:rPr>
        <w:t xml:space="preserve">he </w:t>
      </w:r>
      <w:r w:rsidR="00F16D27">
        <w:rPr>
          <w:lang w:val="fr-FR"/>
        </w:rPr>
        <w:t xml:space="preserve">Human Rights </w:t>
      </w:r>
      <w:r w:rsidR="001A4E44" w:rsidRPr="002138E6">
        <w:rPr>
          <w:rStyle w:val="FootnoteReference"/>
          <w:vertAlign w:val="baseline"/>
          <w:lang w:val="fr-FR"/>
        </w:rPr>
        <w:t xml:space="preserve">Committee </w:t>
      </w:r>
      <w:r w:rsidR="00DA67C8" w:rsidRPr="002138E6">
        <w:rPr>
          <w:rStyle w:val="FootnoteReference"/>
          <w:vertAlign w:val="baseline"/>
          <w:lang w:val="fr-FR"/>
        </w:rPr>
        <w:t xml:space="preserve">clarified </w:t>
      </w:r>
      <w:r w:rsidR="001A4E44" w:rsidRPr="002138E6">
        <w:rPr>
          <w:rStyle w:val="FootnoteReference"/>
          <w:vertAlign w:val="baseline"/>
          <w:lang w:val="fr-FR"/>
        </w:rPr>
        <w:t xml:space="preserve">that “restrictions must not impair the essence of the right.” </w:t>
      </w:r>
      <w:r w:rsidR="00DA67C8" w:rsidRPr="002138E6">
        <w:rPr>
          <w:rStyle w:val="FootnoteReference"/>
          <w:vertAlign w:val="baseline"/>
          <w:lang w:val="fr-FR"/>
        </w:rPr>
        <w:t>CCPR/C/21/Rev.1/Add.9</w:t>
      </w:r>
      <w:r w:rsidR="001A4E44" w:rsidRPr="002138E6">
        <w:rPr>
          <w:rStyle w:val="FootnoteReference"/>
          <w:vertAlign w:val="baseline"/>
          <w:lang w:val="fr-FR"/>
        </w:rPr>
        <w:t>, para. 13</w:t>
      </w:r>
      <w:r w:rsidR="00DA67C8" w:rsidRPr="002138E6">
        <w:rPr>
          <w:lang w:val="fr-FR"/>
        </w:rPr>
        <w:t>,</w:t>
      </w:r>
      <w:r w:rsidR="001A4E44" w:rsidRPr="002138E6">
        <w:rPr>
          <w:rStyle w:val="FootnoteReference"/>
          <w:vertAlign w:val="baseline"/>
          <w:lang w:val="fr-FR"/>
        </w:rPr>
        <w:t xml:space="preserve"> </w:t>
      </w:r>
      <w:r w:rsidR="00DA67C8" w:rsidRPr="002138E6">
        <w:rPr>
          <w:rStyle w:val="FootnoteReference"/>
          <w:vertAlign w:val="baseline"/>
          <w:lang w:val="fr-FR"/>
        </w:rPr>
        <w:t>adding that</w:t>
      </w:r>
      <w:r w:rsidR="001A4E44" w:rsidRPr="002138E6">
        <w:rPr>
          <w:rStyle w:val="FootnoteReference"/>
          <w:vertAlign w:val="baseline"/>
          <w:lang w:val="fr-FR"/>
        </w:rPr>
        <w:t xml:space="preserve"> “The laws authorizing the application of restrictions should use precise criteria and may not confer unfettered discretion on those charged with their execution.” Id.</w:t>
      </w:r>
    </w:p>
  </w:footnote>
  <w:footnote w:id="12">
    <w:p w14:paraId="505B651C" w14:textId="7B060323" w:rsidR="001A4E44" w:rsidRPr="00AE799B" w:rsidRDefault="00262C24" w:rsidP="001A4E44">
      <w:pPr>
        <w:pStyle w:val="FootnoteText"/>
        <w:spacing w:before="120" w:after="120" w:line="240" w:lineRule="auto"/>
        <w:ind w:right="-81"/>
      </w:pPr>
      <w:r w:rsidRPr="002138E6">
        <w:rPr>
          <w:lang w:val="fr-FR"/>
        </w:rPr>
        <w:tab/>
      </w:r>
      <w:r w:rsidR="001A4E44">
        <w:rPr>
          <w:rStyle w:val="FootnoteReference"/>
        </w:rPr>
        <w:footnoteRef/>
      </w:r>
      <w:r>
        <w:tab/>
      </w:r>
      <w:r w:rsidR="001A4E44">
        <w:t xml:space="preserve">See especially </w:t>
      </w:r>
      <w:hyperlink r:id="rId15" w:history="1">
        <w:r w:rsidR="001A4E44" w:rsidRPr="001E551A">
          <w:rPr>
            <w:rStyle w:val="Hyperlink"/>
          </w:rPr>
          <w:t>A/67/357</w:t>
        </w:r>
      </w:hyperlink>
      <w:r w:rsidR="001A4E44">
        <w:t>, para</w:t>
      </w:r>
      <w:r w:rsidR="0036222E">
        <w:t>.</w:t>
      </w:r>
      <w:r w:rsidR="001A4E44">
        <w:t xml:space="preserve"> 41; A/HRC/29/32, para</w:t>
      </w:r>
      <w:r w:rsidR="0036222E">
        <w:t>s.</w:t>
      </w:r>
      <w:r w:rsidR="001A4E44">
        <w:t xml:space="preserve"> 32 – 35.</w:t>
      </w:r>
    </w:p>
  </w:footnote>
  <w:footnote w:id="13">
    <w:p w14:paraId="1429BA88" w14:textId="30B34489" w:rsidR="005F1F0E" w:rsidRDefault="00766D71">
      <w:pPr>
        <w:pStyle w:val="FootnoteText"/>
      </w:pPr>
      <w:r>
        <w:tab/>
      </w:r>
      <w:r w:rsidR="005F1F0E">
        <w:rPr>
          <w:rStyle w:val="FootnoteReference"/>
        </w:rPr>
        <w:footnoteRef/>
      </w:r>
      <w:r>
        <w:tab/>
      </w:r>
      <w:r w:rsidR="00AC0286">
        <w:t>General Comment</w:t>
      </w:r>
      <w:r w:rsidR="005F1F0E">
        <w:t xml:space="preserve"> 34</w:t>
      </w:r>
      <w:r w:rsidR="00AC0286">
        <w:t>,</w:t>
      </w:r>
      <w:r w:rsidR="005F1F0E">
        <w:t xml:space="preserve"> para</w:t>
      </w:r>
      <w:r w:rsidR="0036222E">
        <w:t>.</w:t>
      </w:r>
      <w:r w:rsidR="005F1F0E">
        <w:t xml:space="preserve"> 27</w:t>
      </w:r>
      <w:r w:rsidR="004B49F3">
        <w:t>.</w:t>
      </w:r>
    </w:p>
  </w:footnote>
  <w:footnote w:id="14">
    <w:p w14:paraId="6B1494BC" w14:textId="6859081F" w:rsidR="00293FCD" w:rsidRPr="00BF618C" w:rsidRDefault="00293FCD" w:rsidP="00293FCD">
      <w:pPr>
        <w:pStyle w:val="FootnoteText"/>
        <w:spacing w:before="120" w:after="120" w:line="240" w:lineRule="auto"/>
        <w:rPr>
          <w:rStyle w:val="FootnoteReference"/>
          <w:vertAlign w:val="baseline"/>
        </w:rPr>
      </w:pPr>
      <w:r>
        <w:rPr>
          <w:rFonts w:eastAsia="Arial Unicode MS"/>
          <w:szCs w:val="18"/>
        </w:rPr>
        <w:tab/>
      </w:r>
      <w:r w:rsidRPr="00CC18C0">
        <w:rPr>
          <w:rStyle w:val="FootnoteReference"/>
        </w:rPr>
        <w:footnoteRef/>
      </w:r>
      <w:r w:rsidRPr="00BF618C">
        <w:rPr>
          <w:rStyle w:val="FootnoteReference"/>
        </w:rPr>
        <w:tab/>
      </w:r>
      <w:r w:rsidR="00AC0286">
        <w:t>Id.</w:t>
      </w:r>
      <w:r>
        <w:t>, para</w:t>
      </w:r>
      <w:r w:rsidR="0036222E">
        <w:t>.</w:t>
      </w:r>
      <w:r>
        <w:t xml:space="preserve"> 22</w:t>
      </w:r>
    </w:p>
  </w:footnote>
  <w:footnote w:id="15">
    <w:p w14:paraId="32A1FB32" w14:textId="7321FDB7" w:rsidR="00EC4D20" w:rsidRPr="00262C24" w:rsidRDefault="00EC4D20" w:rsidP="00EC4D20">
      <w:pPr>
        <w:pStyle w:val="FootnoteText"/>
        <w:spacing w:before="120" w:after="120" w:line="240" w:lineRule="auto"/>
        <w:rPr>
          <w:lang w:val="en-GB"/>
        </w:rPr>
      </w:pPr>
      <w:r w:rsidRPr="00766D71">
        <w:rPr>
          <w:lang w:val="en-GB"/>
        </w:rPr>
        <w:tab/>
      </w:r>
      <w:r>
        <w:rPr>
          <w:rStyle w:val="FootnoteReference"/>
        </w:rPr>
        <w:footnoteRef/>
      </w:r>
      <w:r w:rsidRPr="00262C24">
        <w:rPr>
          <w:lang w:val="en-GB"/>
        </w:rPr>
        <w:tab/>
      </w:r>
      <w:r w:rsidR="004B49F3">
        <w:rPr>
          <w:lang w:val="en-GB"/>
        </w:rPr>
        <w:t xml:space="preserve">See </w:t>
      </w:r>
      <w:hyperlink r:id="rId16" w:history="1">
        <w:r w:rsidRPr="00F16D27">
          <w:rPr>
            <w:rStyle w:val="Hyperlink"/>
            <w:lang w:val="en-GB"/>
          </w:rPr>
          <w:t>A/71/373</w:t>
        </w:r>
      </w:hyperlink>
      <w:r w:rsidR="00F16D27">
        <w:rPr>
          <w:lang w:val="en-GB"/>
        </w:rPr>
        <w:t xml:space="preserve"> (2016)</w:t>
      </w:r>
      <w:r w:rsidRPr="00262C24">
        <w:rPr>
          <w:lang w:val="en-GB"/>
        </w:rPr>
        <w:t>.</w:t>
      </w:r>
    </w:p>
  </w:footnote>
  <w:footnote w:id="16">
    <w:p w14:paraId="676D8A53" w14:textId="3A996A9F" w:rsidR="001A4E44" w:rsidRPr="001A353E" w:rsidRDefault="00262C24" w:rsidP="001A4E44">
      <w:pPr>
        <w:pStyle w:val="FootnoteText"/>
        <w:spacing w:before="120" w:after="120" w:line="240" w:lineRule="auto"/>
        <w:ind w:right="-81"/>
      </w:pPr>
      <w:r>
        <w:tab/>
      </w:r>
      <w:r w:rsidR="001A4E44">
        <w:rPr>
          <w:rStyle w:val="FootnoteReference"/>
        </w:rPr>
        <w:footnoteRef/>
      </w:r>
      <w:r>
        <w:tab/>
      </w:r>
      <w:r w:rsidR="001A4E44">
        <w:t xml:space="preserve">Article 2(3)(b), ICCPR. See also </w:t>
      </w:r>
      <w:r w:rsidR="001A4E44" w:rsidRPr="00C26F9E">
        <w:t>A/HRC/22/17/Add.4</w:t>
      </w:r>
      <w:r w:rsidR="001A4E44">
        <w:t>, para</w:t>
      </w:r>
      <w:r w:rsidR="0036222E">
        <w:t>.</w:t>
      </w:r>
      <w:r w:rsidR="001A4E44">
        <w:t xml:space="preserve"> 31.</w:t>
      </w:r>
    </w:p>
  </w:footnote>
  <w:footnote w:id="17">
    <w:p w14:paraId="414C1C38" w14:textId="273249EF" w:rsidR="001A4E44" w:rsidRPr="00250B4D" w:rsidRDefault="00262C24" w:rsidP="001A4E44">
      <w:pPr>
        <w:pStyle w:val="FootnoteText"/>
        <w:spacing w:before="120" w:after="120" w:line="240" w:lineRule="auto"/>
        <w:rPr>
          <w:lang w:val="en-GB"/>
        </w:rPr>
      </w:pPr>
      <w:r>
        <w:rPr>
          <w:lang w:val="en-GB"/>
        </w:rPr>
        <w:tab/>
      </w:r>
      <w:r w:rsidR="001A4E44">
        <w:rPr>
          <w:rStyle w:val="FootnoteReference"/>
        </w:rPr>
        <w:footnoteRef/>
      </w:r>
      <w:r w:rsidRPr="00250B4D">
        <w:rPr>
          <w:lang w:val="en-GB"/>
        </w:rPr>
        <w:tab/>
      </w:r>
      <w:r w:rsidR="001A4E44" w:rsidRPr="00250B4D">
        <w:rPr>
          <w:lang w:val="en-GB"/>
        </w:rPr>
        <w:t>A/67/357, para</w:t>
      </w:r>
      <w:r w:rsidR="00716B36" w:rsidRPr="00250B4D">
        <w:rPr>
          <w:lang w:val="en-GB"/>
        </w:rPr>
        <w:t>. 44</w:t>
      </w:r>
    </w:p>
  </w:footnote>
  <w:footnote w:id="18">
    <w:p w14:paraId="1FE35667" w14:textId="164571FF" w:rsidR="001A4E44" w:rsidRPr="00250B4D" w:rsidRDefault="00262C24" w:rsidP="00BF618C">
      <w:pPr>
        <w:pStyle w:val="FootnoteText"/>
        <w:spacing w:before="120" w:after="120" w:line="240" w:lineRule="auto"/>
        <w:rPr>
          <w:rStyle w:val="FootnoteReference"/>
          <w:lang w:val="en-GB"/>
        </w:rPr>
      </w:pPr>
      <w:r w:rsidRPr="00250B4D">
        <w:rPr>
          <w:lang w:val="en-GB"/>
        </w:rPr>
        <w:tab/>
      </w:r>
      <w:r w:rsidR="001A4E44">
        <w:rPr>
          <w:rStyle w:val="FootnoteReference"/>
        </w:rPr>
        <w:footnoteRef/>
      </w:r>
      <w:r w:rsidRPr="00250B4D">
        <w:rPr>
          <w:rStyle w:val="FootnoteReference"/>
          <w:lang w:val="en-GB"/>
        </w:rPr>
        <w:tab/>
      </w:r>
      <w:r w:rsidR="001A4E44" w:rsidRPr="00250B4D">
        <w:rPr>
          <w:rStyle w:val="FootnoteReference"/>
          <w:vertAlign w:val="baseline"/>
          <w:lang w:val="en-GB"/>
        </w:rPr>
        <w:t>Article 2(1),</w:t>
      </w:r>
      <w:r w:rsidR="00594C26" w:rsidRPr="00250B4D">
        <w:rPr>
          <w:lang w:val="en-GB"/>
        </w:rPr>
        <w:t xml:space="preserve"> Article 26,</w:t>
      </w:r>
      <w:r w:rsidR="001A4E44" w:rsidRPr="00250B4D">
        <w:rPr>
          <w:rStyle w:val="FootnoteReference"/>
          <w:vertAlign w:val="baseline"/>
          <w:lang w:val="en-GB"/>
        </w:rPr>
        <w:t xml:space="preserve"> ICCPR. Also see Article 19, ‘</w:t>
      </w:r>
      <w:hyperlink r:id="rId17" w:history="1">
        <w:r w:rsidR="001A4E44" w:rsidRPr="00250B4D">
          <w:rPr>
            <w:rStyle w:val="Hyperlink"/>
            <w:lang w:val="en-GB"/>
          </w:rPr>
          <w:t>Hate speech’ explained: A toolkit</w:t>
        </w:r>
      </w:hyperlink>
      <w:r w:rsidR="001A4E44" w:rsidRPr="00250B4D">
        <w:rPr>
          <w:rStyle w:val="FootnoteReference"/>
          <w:vertAlign w:val="baseline"/>
          <w:lang w:val="en-GB"/>
        </w:rPr>
        <w:t xml:space="preserve"> (2015), at page 14. On online </w:t>
      </w:r>
      <w:r w:rsidR="00716B36" w:rsidRPr="00250B4D">
        <w:rPr>
          <w:rStyle w:val="FootnoteReference"/>
          <w:vertAlign w:val="baseline"/>
          <w:lang w:val="en-GB"/>
        </w:rPr>
        <w:t>violence against women</w:t>
      </w:r>
      <w:r w:rsidR="001A4E44" w:rsidRPr="00250B4D">
        <w:rPr>
          <w:rStyle w:val="FootnoteReference"/>
          <w:vertAlign w:val="baseline"/>
          <w:lang w:val="en-GB"/>
        </w:rPr>
        <w:t xml:space="preserve">, see </w:t>
      </w:r>
      <w:hyperlink r:id="rId18" w:history="1">
        <w:r w:rsidR="00716B36" w:rsidRPr="00250B4D">
          <w:rPr>
            <w:rStyle w:val="Hyperlink"/>
            <w:lang w:val="en-GB"/>
          </w:rPr>
          <w:t>A/HRC/38/47</w:t>
        </w:r>
      </w:hyperlink>
      <w:r w:rsidR="00F16D27" w:rsidRPr="00250B4D">
        <w:rPr>
          <w:rStyle w:val="FootnoteReference"/>
          <w:vertAlign w:val="baseline"/>
          <w:lang w:val="en-GB"/>
        </w:rPr>
        <w:t xml:space="preserve"> (2018)</w:t>
      </w:r>
      <w:r w:rsidR="004B49F3" w:rsidRPr="00250B4D">
        <w:rPr>
          <w:b/>
          <w:bCs/>
          <w:lang w:val="en-GB"/>
        </w:rPr>
        <w:t xml:space="preserve">. </w:t>
      </w:r>
    </w:p>
  </w:footnote>
  <w:footnote w:id="19">
    <w:p w14:paraId="6F7680E3" w14:textId="2A9C3C0A" w:rsidR="001A4E44" w:rsidRDefault="00262C24" w:rsidP="001A4E44">
      <w:pPr>
        <w:pStyle w:val="FootnoteText"/>
        <w:spacing w:before="120" w:after="120" w:line="240" w:lineRule="auto"/>
      </w:pPr>
      <w:r w:rsidRPr="00250B4D">
        <w:rPr>
          <w:lang w:val="en-GB"/>
        </w:rPr>
        <w:tab/>
      </w:r>
      <w:r w:rsidR="001A4E44">
        <w:rPr>
          <w:rStyle w:val="FootnoteReference"/>
        </w:rPr>
        <w:footnoteRef/>
      </w:r>
      <w:r>
        <w:tab/>
      </w:r>
      <w:r w:rsidR="004B49F3">
        <w:t xml:space="preserve">General Comment </w:t>
      </w:r>
      <w:r w:rsidR="001A4E44" w:rsidRPr="007D7EB9">
        <w:t>34</w:t>
      </w:r>
      <w:r w:rsidR="001A4E44" w:rsidRPr="00AC4AF4">
        <w:t>, para</w:t>
      </w:r>
      <w:r w:rsidR="0036222E">
        <w:t>.</w:t>
      </w:r>
      <w:r w:rsidR="001A4E44" w:rsidRPr="00AC4AF4">
        <w:t xml:space="preserve"> 11</w:t>
      </w:r>
    </w:p>
  </w:footnote>
  <w:footnote w:id="20">
    <w:p w14:paraId="16593E28" w14:textId="3765B4A9" w:rsidR="00A43499" w:rsidRPr="002138E6" w:rsidRDefault="00766D71">
      <w:pPr>
        <w:pStyle w:val="FootnoteText"/>
        <w:rPr>
          <w:b/>
          <w:bCs/>
        </w:rPr>
      </w:pPr>
      <w:r>
        <w:tab/>
      </w:r>
      <w:r w:rsidR="00A43499" w:rsidRPr="00D25056">
        <w:rPr>
          <w:rStyle w:val="FootnoteReference"/>
        </w:rPr>
        <w:footnoteRef/>
      </w:r>
      <w:r>
        <w:tab/>
      </w:r>
      <w:r w:rsidR="00D25056" w:rsidRPr="00D25056">
        <w:t>See</w:t>
      </w:r>
      <w:r w:rsidR="00D25056">
        <w:rPr>
          <w:b/>
          <w:bCs/>
        </w:rPr>
        <w:t xml:space="preserve"> </w:t>
      </w:r>
      <w:r w:rsidR="00D25056" w:rsidRPr="00BF618C">
        <w:rPr>
          <w:rStyle w:val="FootnoteReference"/>
          <w:vertAlign w:val="baseline"/>
        </w:rPr>
        <w:t>Evelyn</w:t>
      </w:r>
      <w:r w:rsidR="00F16D27">
        <w:t xml:space="preserve"> M.</w:t>
      </w:r>
      <w:r w:rsidR="00D25056" w:rsidRPr="00BF618C">
        <w:rPr>
          <w:rStyle w:val="FootnoteReference"/>
          <w:vertAlign w:val="baseline"/>
        </w:rPr>
        <w:t xml:space="preserve"> Aswad,  </w:t>
      </w:r>
      <w:r w:rsidR="00D25056" w:rsidRPr="004B49F3">
        <w:rPr>
          <w:rStyle w:val="FootnoteReference"/>
          <w:i/>
          <w:iCs/>
          <w:vertAlign w:val="baseline"/>
        </w:rPr>
        <w:t>To ban or not to ban blasphemous videos</w:t>
      </w:r>
      <w:r w:rsidR="00D25056" w:rsidRPr="00BF618C">
        <w:rPr>
          <w:rStyle w:val="FootnoteReference"/>
          <w:vertAlign w:val="baseline"/>
        </w:rPr>
        <w:t>, 4 Georgetown Journal of International Law 1313, 1320-22 (2013)</w:t>
      </w:r>
      <w:r w:rsidR="00D25056">
        <w:t>.</w:t>
      </w:r>
    </w:p>
  </w:footnote>
  <w:footnote w:id="21">
    <w:p w14:paraId="729D510F" w14:textId="77777777" w:rsidR="001A4E44" w:rsidRDefault="00262C24" w:rsidP="001A4E44">
      <w:pPr>
        <w:pStyle w:val="FootnoteText"/>
        <w:spacing w:before="120" w:after="120" w:line="240" w:lineRule="auto"/>
      </w:pPr>
      <w:r>
        <w:tab/>
      </w:r>
      <w:r w:rsidR="001A4E44">
        <w:rPr>
          <w:rStyle w:val="FootnoteReference"/>
        </w:rPr>
        <w:footnoteRef/>
      </w:r>
      <w:r>
        <w:tab/>
      </w:r>
      <w:r w:rsidR="001A4E44">
        <w:t>ICERD, Articles 4 – 5.</w:t>
      </w:r>
    </w:p>
  </w:footnote>
  <w:footnote w:id="22">
    <w:p w14:paraId="183BAE87" w14:textId="1F24F0D5" w:rsidR="001A4E44" w:rsidRPr="00BF618C" w:rsidRDefault="00262C24" w:rsidP="00BF618C">
      <w:pPr>
        <w:pStyle w:val="FootnoteText"/>
        <w:spacing w:before="120" w:after="120" w:line="240" w:lineRule="auto"/>
        <w:rPr>
          <w:rStyle w:val="FootnoteReference"/>
        </w:rPr>
      </w:pPr>
      <w:r>
        <w:rPr>
          <w:i/>
          <w:iCs/>
          <w:szCs w:val="18"/>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Jeremy Waldron, </w:t>
      </w:r>
      <w:r w:rsidR="001A4E44" w:rsidRPr="00D25056">
        <w:rPr>
          <w:rStyle w:val="FootnoteReference"/>
          <w:i/>
          <w:iCs/>
          <w:vertAlign w:val="baseline"/>
        </w:rPr>
        <w:t>The Harm in Hate Speech</w:t>
      </w:r>
      <w:r w:rsidR="001A4E44" w:rsidRPr="00BF618C">
        <w:rPr>
          <w:rStyle w:val="FootnoteReference"/>
          <w:vertAlign w:val="baseline"/>
        </w:rPr>
        <w:t xml:space="preserve"> (2012).</w:t>
      </w:r>
    </w:p>
  </w:footnote>
  <w:footnote w:id="23">
    <w:p w14:paraId="44A3311B" w14:textId="39D9B940" w:rsidR="001A4E44" w:rsidRPr="00BF618C" w:rsidRDefault="00262C24" w:rsidP="00BF618C">
      <w:pPr>
        <w:pStyle w:val="FootnoteText"/>
        <w:spacing w:before="120" w:after="120" w:line="240" w:lineRule="auto"/>
        <w:rPr>
          <w:rStyle w:val="FootnoteReference"/>
          <w:vertAlign w:val="baseline"/>
        </w:rPr>
      </w:pPr>
      <w:r>
        <w:tab/>
      </w:r>
      <w:r w:rsidR="001A4E44" w:rsidRPr="00BF618C">
        <w:rPr>
          <w:rStyle w:val="FootnoteReference"/>
        </w:rPr>
        <w:footnoteRef/>
      </w:r>
      <w:r w:rsidRPr="00BF618C">
        <w:rPr>
          <w:rStyle w:val="FootnoteReference"/>
        </w:rPr>
        <w:tab/>
      </w:r>
      <w:r w:rsidR="00A04E22">
        <w:rPr>
          <w:rStyle w:val="FootnoteReference"/>
          <w:vertAlign w:val="baseline"/>
        </w:rPr>
        <w:t>T</w:t>
      </w:r>
      <w:r w:rsidR="00A04E22">
        <w:t>he ambiguity is not surprising, considering the negotiating history. S</w:t>
      </w:r>
      <w:r w:rsidR="001A4E44" w:rsidRPr="00BF618C">
        <w:rPr>
          <w:rStyle w:val="FootnoteReference"/>
          <w:vertAlign w:val="baseline"/>
        </w:rPr>
        <w:t xml:space="preserve">ee Jacob Mchangama, </w:t>
      </w:r>
      <w:hyperlink r:id="rId19" w:history="1">
        <w:r w:rsidR="001A4E44" w:rsidRPr="00D25056">
          <w:rPr>
            <w:rStyle w:val="FootnoteReference"/>
            <w:i/>
            <w:iCs/>
            <w:vertAlign w:val="baseline"/>
          </w:rPr>
          <w:t>The Sordid Origin of Hate-Speech Laws</w:t>
        </w:r>
      </w:hyperlink>
      <w:r w:rsidR="001A4E44" w:rsidRPr="00D25056">
        <w:rPr>
          <w:rStyle w:val="FootnoteReference"/>
          <w:i/>
          <w:iCs/>
          <w:vertAlign w:val="baseline"/>
        </w:rPr>
        <w:t xml:space="preserve">, </w:t>
      </w:r>
      <w:r w:rsidR="001A4E44" w:rsidRPr="00A04E22">
        <w:rPr>
          <w:rStyle w:val="FootnoteReference"/>
          <w:vertAlign w:val="baseline"/>
        </w:rPr>
        <w:t>Policy Review</w:t>
      </w:r>
      <w:r w:rsidR="001A4E44" w:rsidRPr="00BF618C">
        <w:rPr>
          <w:rStyle w:val="FootnoteReference"/>
          <w:vertAlign w:val="baseline"/>
        </w:rPr>
        <w:t xml:space="preserve"> (2011).</w:t>
      </w:r>
    </w:p>
  </w:footnote>
  <w:footnote w:id="24">
    <w:p w14:paraId="71785F99" w14:textId="002615D7" w:rsidR="00D25056" w:rsidRPr="00250B4D" w:rsidRDefault="00D25056" w:rsidP="00D25056">
      <w:pPr>
        <w:pStyle w:val="FootnoteText"/>
        <w:spacing w:before="120" w:after="120" w:line="240" w:lineRule="auto"/>
        <w:rPr>
          <w:lang w:val="en-GB"/>
        </w:rPr>
      </w:pPr>
      <w:r>
        <w:rPr>
          <w:lang w:val="en-GB"/>
        </w:rPr>
        <w:tab/>
      </w:r>
      <w:r>
        <w:rPr>
          <w:rStyle w:val="FootnoteReference"/>
        </w:rPr>
        <w:footnoteRef/>
      </w:r>
      <w:r w:rsidRPr="00250B4D">
        <w:rPr>
          <w:lang w:val="en-GB"/>
        </w:rPr>
        <w:tab/>
      </w:r>
      <w:r w:rsidR="00F16D27" w:rsidRPr="00250B4D">
        <w:rPr>
          <w:lang w:val="en-GB"/>
        </w:rPr>
        <w:t>General Comment 34</w:t>
      </w:r>
      <w:r w:rsidRPr="00250B4D">
        <w:rPr>
          <w:lang w:val="en-GB"/>
        </w:rPr>
        <w:t>, para</w:t>
      </w:r>
      <w:r w:rsidR="0036222E" w:rsidRPr="00250B4D">
        <w:rPr>
          <w:lang w:val="en-GB"/>
        </w:rPr>
        <w:t>.</w:t>
      </w:r>
      <w:r w:rsidRPr="00250B4D">
        <w:rPr>
          <w:lang w:val="en-GB"/>
        </w:rPr>
        <w:t xml:space="preserve"> 50.</w:t>
      </w:r>
    </w:p>
  </w:footnote>
  <w:footnote w:id="25">
    <w:p w14:paraId="71E3F845" w14:textId="268B98E8" w:rsidR="001A4E44" w:rsidRPr="00262C24" w:rsidRDefault="00262C24" w:rsidP="001A4E44">
      <w:pPr>
        <w:pStyle w:val="FootnoteText"/>
        <w:spacing w:before="120" w:after="120" w:line="240" w:lineRule="auto"/>
        <w:rPr>
          <w:lang w:val="en-GB"/>
        </w:rPr>
      </w:pPr>
      <w:r w:rsidRPr="00250B4D">
        <w:rPr>
          <w:lang w:val="en-GB"/>
        </w:rPr>
        <w:tab/>
      </w:r>
      <w:r w:rsidR="001A4E44">
        <w:rPr>
          <w:rStyle w:val="FootnoteReference"/>
        </w:rPr>
        <w:footnoteRef/>
      </w:r>
      <w:r w:rsidRPr="00250B4D">
        <w:rPr>
          <w:lang w:val="en-GB"/>
        </w:rPr>
        <w:tab/>
      </w:r>
      <w:r w:rsidR="00F16D27" w:rsidRPr="00250B4D">
        <w:rPr>
          <w:lang w:val="en-GB"/>
        </w:rPr>
        <w:t>Id.</w:t>
      </w:r>
      <w:r w:rsidR="001A4E44" w:rsidRPr="00250B4D">
        <w:rPr>
          <w:lang w:val="en-GB"/>
        </w:rPr>
        <w:t>, para</w:t>
      </w:r>
      <w:r w:rsidR="0036222E" w:rsidRPr="00250B4D">
        <w:rPr>
          <w:lang w:val="en-GB"/>
        </w:rPr>
        <w:t>,</w:t>
      </w:r>
      <w:r w:rsidR="001A4E44" w:rsidRPr="00250B4D">
        <w:rPr>
          <w:lang w:val="en-GB"/>
        </w:rPr>
        <w:t xml:space="preserve"> 52</w:t>
      </w:r>
      <w:r w:rsidR="001E6AF2" w:rsidRPr="00250B4D">
        <w:rPr>
          <w:lang w:val="en-GB"/>
        </w:rPr>
        <w:t xml:space="preserve">. </w:t>
      </w:r>
      <w:r w:rsidR="001E6AF2">
        <w:rPr>
          <w:lang w:val="en-GB"/>
        </w:rPr>
        <w:t>In the context of Article 20(2) in particular, see id., para</w:t>
      </w:r>
      <w:r w:rsidR="0036222E">
        <w:rPr>
          <w:lang w:val="en-GB"/>
        </w:rPr>
        <w:t>.</w:t>
      </w:r>
      <w:r w:rsidR="001E6AF2">
        <w:rPr>
          <w:lang w:val="en-GB"/>
        </w:rPr>
        <w:t xml:space="preserve"> 50.</w:t>
      </w:r>
      <w:r w:rsidR="009A18B7">
        <w:rPr>
          <w:lang w:val="en-GB"/>
        </w:rPr>
        <w:t xml:space="preserve"> </w:t>
      </w:r>
    </w:p>
  </w:footnote>
  <w:footnote w:id="26">
    <w:p w14:paraId="54C9A366" w14:textId="73EA4ECA" w:rsidR="001D2868" w:rsidRPr="00BF618C" w:rsidRDefault="001D2868" w:rsidP="001D2868">
      <w:pPr>
        <w:pStyle w:val="FootnoteText"/>
        <w:spacing w:before="120" w:after="120" w:line="240" w:lineRule="auto"/>
        <w:rPr>
          <w:rStyle w:val="FootnoteReference"/>
          <w:vertAlign w:val="baseline"/>
        </w:rPr>
      </w:pPr>
      <w:r>
        <w:rPr>
          <w:szCs w:val="18"/>
        </w:rPr>
        <w:tab/>
      </w:r>
      <w:r w:rsidRPr="00BF618C">
        <w:rPr>
          <w:rStyle w:val="FootnoteReference"/>
        </w:rPr>
        <w:footnoteRef/>
      </w:r>
      <w:r w:rsidRPr="00BF618C">
        <w:rPr>
          <w:rStyle w:val="FootnoteReference"/>
        </w:rPr>
        <w:tab/>
      </w:r>
      <w:r w:rsidRPr="00BF618C">
        <w:rPr>
          <w:rStyle w:val="FootnoteReference"/>
          <w:vertAlign w:val="baseline"/>
        </w:rPr>
        <w:t>See, e.g.,</w:t>
      </w:r>
      <w:r w:rsidR="004B49F3">
        <w:t xml:space="preserve"> CERD Committee, General Recommendation 35,</w:t>
      </w:r>
      <w:r w:rsidRPr="00BF618C">
        <w:rPr>
          <w:rStyle w:val="FootnoteReference"/>
          <w:vertAlign w:val="baseline"/>
        </w:rPr>
        <w:t xml:space="preserve"> </w:t>
      </w:r>
      <w:hyperlink r:id="rId20" w:history="1">
        <w:r w:rsidRPr="00F16D27">
          <w:rPr>
            <w:rStyle w:val="Hyperlink"/>
          </w:rPr>
          <w:t>CERD/C/GC/35</w:t>
        </w:r>
      </w:hyperlink>
      <w:r w:rsidR="00F16D27">
        <w:rPr>
          <w:rStyle w:val="FootnoteReference"/>
          <w:vertAlign w:val="baseline"/>
        </w:rPr>
        <w:t xml:space="preserve"> (2013)</w:t>
      </w:r>
      <w:r w:rsidR="004B49F3">
        <w:t>.</w:t>
      </w:r>
    </w:p>
  </w:footnote>
  <w:footnote w:id="27">
    <w:p w14:paraId="571A63D4" w14:textId="13BB6528" w:rsidR="004B49F3" w:rsidRPr="00A64415" w:rsidRDefault="001D2868" w:rsidP="00766D71">
      <w:pPr>
        <w:pStyle w:val="FootnoteText"/>
        <w:spacing w:line="240" w:lineRule="auto"/>
        <w:ind w:left="1138" w:hanging="1138"/>
      </w:pPr>
      <w:r>
        <w:tab/>
      </w:r>
      <w:r>
        <w:rPr>
          <w:rStyle w:val="FootnoteReference"/>
        </w:rPr>
        <w:footnoteRef/>
      </w:r>
      <w:r>
        <w:tab/>
      </w:r>
      <w:r w:rsidR="00A04E22">
        <w:t xml:space="preserve">Rabat Plan of Action, </w:t>
      </w:r>
      <w:hyperlink r:id="rId21" w:history="1">
        <w:r w:rsidR="00A04E22" w:rsidRPr="00F16D27">
          <w:rPr>
            <w:rStyle w:val="Hyperlink"/>
          </w:rPr>
          <w:t>A/HRC/22/17/Add.4</w:t>
        </w:r>
      </w:hyperlink>
      <w:r w:rsidR="00A04E22">
        <w:t xml:space="preserve">, </w:t>
      </w:r>
      <w:r w:rsidR="00A04E22" w:rsidRPr="00A04E22">
        <w:t>footnote 5 (emphasis added)</w:t>
      </w:r>
      <w:r w:rsidR="00A04E22">
        <w:t xml:space="preserve">, </w:t>
      </w:r>
      <w:r w:rsidR="00A04E22" w:rsidRPr="00A04E22">
        <w:rPr>
          <w:i/>
          <w:iCs/>
        </w:rPr>
        <w:t>c</w:t>
      </w:r>
      <w:r w:rsidRPr="00A04E22">
        <w:rPr>
          <w:i/>
          <w:iCs/>
        </w:rPr>
        <w:t>iting</w:t>
      </w:r>
      <w:r>
        <w:t xml:space="preserve"> ARTICLE 19, </w:t>
      </w:r>
      <w:r w:rsidRPr="00A04E22">
        <w:rPr>
          <w:i/>
          <w:iCs/>
        </w:rPr>
        <w:t>The Camden Principles on Freedom of Expression and Equality</w:t>
      </w:r>
      <w:r>
        <w:t xml:space="preserve"> (April 2009)</w:t>
      </w:r>
      <w:r w:rsidR="00A04E22">
        <w:t xml:space="preserve">. </w:t>
      </w:r>
      <w:r>
        <w:t>Special Rapporteur Frank La Rue defined as a key factor in the assessment of incitement whether there was “</w:t>
      </w:r>
      <w:r w:rsidRPr="00986938">
        <w:t>real and imminent danger of violence resulting from the expression</w:t>
      </w:r>
      <w:r>
        <w:t>.” A/67/357, para. 46.</w:t>
      </w:r>
      <w:r w:rsidR="00981860">
        <w:t xml:space="preserve"> See also ARTICLE 19, </w:t>
      </w:r>
      <w:hyperlink r:id="rId22" w:history="1">
        <w:r w:rsidR="00981860" w:rsidRPr="00C4115F">
          <w:rPr>
            <w:rStyle w:val="Hyperlink"/>
            <w:i/>
            <w:iCs/>
          </w:rPr>
          <w:t>Prohibiting incitement to discrimination, hostility or violence</w:t>
        </w:r>
      </w:hyperlink>
      <w:r w:rsidR="00981860">
        <w:t xml:space="preserve"> (2012), p. 24-25.</w:t>
      </w:r>
    </w:p>
  </w:footnote>
  <w:footnote w:id="28">
    <w:p w14:paraId="43A45918" w14:textId="3D89C8AE" w:rsidR="001D2868" w:rsidRPr="006F3525" w:rsidRDefault="001D2868" w:rsidP="001D2868">
      <w:pPr>
        <w:pStyle w:val="FootnoteText"/>
        <w:spacing w:before="120" w:after="120" w:line="240" w:lineRule="auto"/>
        <w:ind w:right="-81"/>
      </w:pPr>
      <w:r>
        <w:tab/>
      </w:r>
      <w:r>
        <w:rPr>
          <w:rStyle w:val="FootnoteReference"/>
        </w:rPr>
        <w:footnoteRef/>
      </w:r>
      <w:r>
        <w:tab/>
      </w:r>
      <w:r w:rsidR="004B49F3">
        <w:t>Rabat Plan of Action,</w:t>
      </w:r>
      <w:r>
        <w:t xml:space="preserve"> para</w:t>
      </w:r>
      <w:r w:rsidR="0036222E">
        <w:t>.</w:t>
      </w:r>
      <w:r>
        <w:t xml:space="preserve"> 29. </w:t>
      </w:r>
    </w:p>
  </w:footnote>
  <w:footnote w:id="29">
    <w:p w14:paraId="2824C356" w14:textId="1DCFFE39" w:rsidR="001A4E44" w:rsidRPr="002138E6" w:rsidRDefault="00262C24" w:rsidP="001A4E44">
      <w:pPr>
        <w:pStyle w:val="FootnoteText"/>
        <w:spacing w:before="120" w:after="120" w:line="240" w:lineRule="auto"/>
        <w:rPr>
          <w:lang w:val="fr-FR"/>
        </w:rPr>
      </w:pPr>
      <w:r>
        <w:rPr>
          <w:lang w:val="en-GB"/>
        </w:rPr>
        <w:tab/>
      </w:r>
      <w:r w:rsidR="001A4E44">
        <w:rPr>
          <w:rStyle w:val="FootnoteReference"/>
        </w:rPr>
        <w:footnoteRef/>
      </w:r>
      <w:r w:rsidRPr="002138E6">
        <w:rPr>
          <w:lang w:val="fr-FR"/>
        </w:rPr>
        <w:tab/>
      </w:r>
      <w:r w:rsidR="009A3E56">
        <w:rPr>
          <w:lang w:val="fr-FR"/>
        </w:rPr>
        <w:t>General Recommendation 35</w:t>
      </w:r>
      <w:r w:rsidR="001A4E44" w:rsidRPr="002138E6">
        <w:rPr>
          <w:lang w:val="fr-FR"/>
        </w:rPr>
        <w:t>, para.</w:t>
      </w:r>
      <w:r w:rsidR="004914D9">
        <w:rPr>
          <w:lang w:val="fr-FR"/>
        </w:rPr>
        <w:t xml:space="preserve"> 35. The CERD Committee understands the due-regard clause as having particular importance with regard to freedom of expression, which it states is </w:t>
      </w:r>
      <w:r w:rsidR="007A098F">
        <w:rPr>
          <w:lang w:val="fr-FR"/>
        </w:rPr>
        <w:t>‘</w:t>
      </w:r>
      <w:r w:rsidR="004914D9">
        <w:rPr>
          <w:lang w:val="fr-FR"/>
        </w:rPr>
        <w:t>the most pertinent principle when calibrating the legitimacy of speech restrictions.’ Id.</w:t>
      </w:r>
    </w:p>
  </w:footnote>
  <w:footnote w:id="30">
    <w:p w14:paraId="663595E2" w14:textId="69E4810B" w:rsidR="001A4E44" w:rsidRPr="002138E6" w:rsidRDefault="00262C24" w:rsidP="001A4E44">
      <w:pPr>
        <w:pStyle w:val="FootnoteText"/>
        <w:spacing w:before="120" w:after="120" w:line="240" w:lineRule="auto"/>
        <w:rPr>
          <w:lang w:val="fr-FR"/>
        </w:rPr>
      </w:pPr>
      <w:r w:rsidRPr="002138E6">
        <w:rPr>
          <w:lang w:val="fr-FR"/>
        </w:rPr>
        <w:tab/>
      </w:r>
      <w:r w:rsidR="001A4E44">
        <w:rPr>
          <w:rStyle w:val="FootnoteReference"/>
        </w:rPr>
        <w:footnoteRef/>
      </w:r>
      <w:r w:rsidRPr="002138E6">
        <w:rPr>
          <w:lang w:val="fr-FR"/>
        </w:rPr>
        <w:tab/>
      </w:r>
      <w:r w:rsidR="009A3E56">
        <w:rPr>
          <w:lang w:val="fr-FR"/>
        </w:rPr>
        <w:t>Id.</w:t>
      </w:r>
      <w:r w:rsidR="001A4E44" w:rsidRPr="002138E6">
        <w:rPr>
          <w:lang w:val="fr-FR"/>
        </w:rPr>
        <w:t>, para</w:t>
      </w:r>
      <w:r w:rsidR="0036222E">
        <w:rPr>
          <w:lang w:val="fr-FR"/>
        </w:rPr>
        <w:t>.</w:t>
      </w:r>
      <w:r w:rsidR="001A4E44" w:rsidRPr="002138E6">
        <w:rPr>
          <w:lang w:val="fr-FR"/>
        </w:rPr>
        <w:t xml:space="preserve"> 12</w:t>
      </w:r>
      <w:r w:rsidR="00517419" w:rsidRPr="002138E6">
        <w:rPr>
          <w:lang w:val="fr-FR"/>
        </w:rPr>
        <w:t>.</w:t>
      </w:r>
      <w:r w:rsidR="001D2868">
        <w:rPr>
          <w:lang w:val="fr-FR"/>
        </w:rPr>
        <w:t xml:space="preserve"> </w:t>
      </w:r>
    </w:p>
  </w:footnote>
  <w:footnote w:id="31">
    <w:p w14:paraId="49599CD8" w14:textId="7E3767EC" w:rsidR="00D351E8" w:rsidRPr="00766D71" w:rsidRDefault="00766D71" w:rsidP="00D351E8">
      <w:pPr>
        <w:pStyle w:val="FootnoteText"/>
        <w:rPr>
          <w:lang w:val="es-MX"/>
        </w:rPr>
      </w:pPr>
      <w:r>
        <w:rPr>
          <w:lang w:val="es-MX"/>
        </w:rPr>
        <w:tab/>
      </w:r>
      <w:r w:rsidR="00D351E8">
        <w:rPr>
          <w:rStyle w:val="FootnoteReference"/>
        </w:rPr>
        <w:footnoteRef/>
      </w:r>
      <w:r>
        <w:rPr>
          <w:lang w:val="es-MX"/>
        </w:rPr>
        <w:tab/>
      </w:r>
      <w:r w:rsidR="009A3E56" w:rsidRPr="00766D71">
        <w:rPr>
          <w:lang w:val="es-MX"/>
        </w:rPr>
        <w:t>Id., para</w:t>
      </w:r>
      <w:r w:rsidR="0036222E">
        <w:rPr>
          <w:lang w:val="es-MX"/>
        </w:rPr>
        <w:t>.</w:t>
      </w:r>
      <w:r w:rsidR="009A3E56" w:rsidRPr="00766D71">
        <w:rPr>
          <w:lang w:val="es-MX"/>
        </w:rPr>
        <w:t xml:space="preserve"> 4, 19-20. </w:t>
      </w:r>
    </w:p>
  </w:footnote>
  <w:footnote w:id="32">
    <w:p w14:paraId="2957B21E" w14:textId="2E9ABC46" w:rsidR="00D351E8" w:rsidRPr="00766D71" w:rsidRDefault="00D351E8" w:rsidP="00D351E8">
      <w:pPr>
        <w:pStyle w:val="FootnoteText"/>
        <w:spacing w:before="120" w:after="120" w:line="240" w:lineRule="auto"/>
        <w:rPr>
          <w:lang w:val="es-MX"/>
        </w:rPr>
      </w:pPr>
      <w:r w:rsidRPr="00766D71">
        <w:rPr>
          <w:lang w:val="es-MX"/>
        </w:rPr>
        <w:tab/>
      </w:r>
      <w:r>
        <w:rPr>
          <w:rStyle w:val="FootnoteReference"/>
        </w:rPr>
        <w:footnoteRef/>
      </w:r>
      <w:r w:rsidRPr="00766D71">
        <w:rPr>
          <w:lang w:val="es-MX"/>
        </w:rPr>
        <w:tab/>
      </w:r>
      <w:r w:rsidR="009A3E56" w:rsidRPr="00766D71">
        <w:rPr>
          <w:lang w:val="es-MX"/>
        </w:rPr>
        <w:t>Id.</w:t>
      </w:r>
      <w:r w:rsidRPr="00766D71">
        <w:rPr>
          <w:lang w:val="es-MX"/>
        </w:rPr>
        <w:t>, para</w:t>
      </w:r>
      <w:r w:rsidR="00872618" w:rsidRPr="00766D71">
        <w:rPr>
          <w:lang w:val="es-MX"/>
        </w:rPr>
        <w:t>s</w:t>
      </w:r>
      <w:r w:rsidR="0036222E">
        <w:rPr>
          <w:lang w:val="es-MX"/>
        </w:rPr>
        <w:t>.</w:t>
      </w:r>
      <w:r w:rsidRPr="00766D71">
        <w:rPr>
          <w:lang w:val="es-MX"/>
        </w:rPr>
        <w:t xml:space="preserve"> 15</w:t>
      </w:r>
      <w:r w:rsidR="00872618" w:rsidRPr="00766D71">
        <w:rPr>
          <w:lang w:val="es-MX"/>
        </w:rPr>
        <w:t xml:space="preserve"> – 16.</w:t>
      </w:r>
    </w:p>
  </w:footnote>
  <w:footnote w:id="33">
    <w:p w14:paraId="30C3F1E5" w14:textId="4BC918ED" w:rsidR="001A4E44" w:rsidRPr="00766D71" w:rsidRDefault="0088001A" w:rsidP="00BF618C">
      <w:pPr>
        <w:pStyle w:val="FootnoteText"/>
        <w:spacing w:before="120" w:after="120" w:line="240" w:lineRule="auto"/>
        <w:rPr>
          <w:rStyle w:val="FootnoteReference"/>
          <w:vertAlign w:val="baseline"/>
          <w:lang w:val="es-MX"/>
        </w:rPr>
      </w:pPr>
      <w:r w:rsidRPr="002138E6">
        <w:rPr>
          <w:lang w:val="fr-FR"/>
        </w:rPr>
        <w:tab/>
      </w:r>
      <w:r w:rsidR="001A4E44">
        <w:rPr>
          <w:rStyle w:val="FootnoteReference"/>
        </w:rPr>
        <w:footnoteRef/>
      </w:r>
      <w:r w:rsidRPr="00766D71">
        <w:rPr>
          <w:rStyle w:val="FootnoteReference"/>
          <w:lang w:val="es-MX"/>
        </w:rPr>
        <w:tab/>
      </w:r>
      <w:r w:rsidR="009A3E56" w:rsidRPr="00766D71">
        <w:rPr>
          <w:rStyle w:val="FootnoteReference"/>
          <w:vertAlign w:val="baseline"/>
          <w:lang w:val="es-MX"/>
        </w:rPr>
        <w:t>I</w:t>
      </w:r>
      <w:r w:rsidR="009A3E56" w:rsidRPr="00766D71">
        <w:rPr>
          <w:lang w:val="es-MX"/>
        </w:rPr>
        <w:t>d.</w:t>
      </w:r>
      <w:r w:rsidR="001A4E44" w:rsidRPr="00766D71">
        <w:rPr>
          <w:rStyle w:val="FootnoteReference"/>
          <w:vertAlign w:val="baseline"/>
          <w:lang w:val="es-MX"/>
        </w:rPr>
        <w:t xml:space="preserve">, para. 13. </w:t>
      </w:r>
    </w:p>
  </w:footnote>
  <w:footnote w:id="34">
    <w:p w14:paraId="23E176AB" w14:textId="0135A6DF" w:rsidR="001A4E44" w:rsidRPr="00250B4D" w:rsidRDefault="0088001A" w:rsidP="001A4E44">
      <w:pPr>
        <w:pStyle w:val="FootnoteText"/>
        <w:spacing w:before="120" w:after="120" w:line="240" w:lineRule="auto"/>
        <w:rPr>
          <w:lang w:val="en-GB"/>
        </w:rPr>
      </w:pPr>
      <w:r w:rsidRPr="00766D71">
        <w:rPr>
          <w:lang w:val="es-MX"/>
        </w:rPr>
        <w:tab/>
      </w:r>
      <w:r w:rsidR="001A4E44">
        <w:rPr>
          <w:rStyle w:val="FootnoteReference"/>
        </w:rPr>
        <w:footnoteRef/>
      </w:r>
      <w:r w:rsidRPr="00766D71">
        <w:rPr>
          <w:lang w:val="es-MX"/>
        </w:rPr>
        <w:tab/>
      </w:r>
      <w:r w:rsidR="001A4E44" w:rsidRPr="00766D71">
        <w:rPr>
          <w:lang w:val="es-MX"/>
        </w:rPr>
        <w:t>Id., para</w:t>
      </w:r>
      <w:r w:rsidR="0036222E">
        <w:rPr>
          <w:lang w:val="es-MX"/>
        </w:rPr>
        <w:t>.</w:t>
      </w:r>
      <w:r w:rsidR="001A4E44" w:rsidRPr="00766D71">
        <w:rPr>
          <w:lang w:val="es-MX"/>
        </w:rPr>
        <w:t xml:space="preserve"> </w:t>
      </w:r>
      <w:r w:rsidR="001A4E44" w:rsidRPr="00250B4D">
        <w:rPr>
          <w:lang w:val="en-GB"/>
        </w:rPr>
        <w:t>35</w:t>
      </w:r>
    </w:p>
  </w:footnote>
  <w:footnote w:id="35">
    <w:p w14:paraId="45C7DEDF" w14:textId="2343C76C" w:rsidR="00937C22" w:rsidRDefault="00766D71">
      <w:pPr>
        <w:pStyle w:val="FootnoteText"/>
      </w:pPr>
      <w:r w:rsidRPr="00250B4D">
        <w:rPr>
          <w:lang w:val="en-GB"/>
        </w:rPr>
        <w:tab/>
      </w:r>
      <w:r w:rsidR="00937C22">
        <w:rPr>
          <w:rStyle w:val="FootnoteReference"/>
        </w:rPr>
        <w:footnoteRef/>
      </w:r>
      <w:r>
        <w:rPr>
          <w:lang w:val="en-GB"/>
        </w:rPr>
        <w:tab/>
      </w:r>
      <w:hyperlink r:id="rId23" w:history="1">
        <w:r w:rsidR="00937C22" w:rsidRPr="00937C22">
          <w:rPr>
            <w:rStyle w:val="Hyperlink"/>
            <w:i/>
            <w:iCs/>
          </w:rPr>
          <w:t>United Nations Strategy and Plan of Action on Hate Speech</w:t>
        </w:r>
      </w:hyperlink>
      <w:r w:rsidR="00937C22">
        <w:t xml:space="preserve">, May 2019. </w:t>
      </w:r>
      <w:r w:rsidR="00937C22" w:rsidRPr="001A4E44">
        <w:rPr>
          <w:rFonts w:eastAsia="MS Mincho"/>
        </w:rPr>
        <w:t>The Rabat Plan of Action alludes to speech that</w:t>
      </w:r>
      <w:r w:rsidR="00937C22">
        <w:rPr>
          <w:rFonts w:eastAsia="MS Mincho"/>
        </w:rPr>
        <w:t xml:space="preserve"> is below Article 20(2) thresholds but either “may justify a civil suit or administrative sanctions” or, giving rise to no sanctions,</w:t>
      </w:r>
      <w:r w:rsidR="00937C22" w:rsidRPr="001A4E44">
        <w:rPr>
          <w:rFonts w:eastAsia="MS Mincho"/>
        </w:rPr>
        <w:t xml:space="preserve"> “still raises concern in terms of tolerance, civility and respect for the rights of others”.</w:t>
      </w:r>
      <w:r w:rsidR="00937C22" w:rsidRPr="00937C22">
        <w:rPr>
          <w:lang w:val="en-GB"/>
        </w:rPr>
        <w:t xml:space="preserve"> </w:t>
      </w:r>
      <w:r w:rsidR="00937C22">
        <w:rPr>
          <w:lang w:val="en-GB"/>
        </w:rPr>
        <w:t>Rabat Plan of Action</w:t>
      </w:r>
      <w:r w:rsidR="00937C22" w:rsidRPr="0088001A">
        <w:rPr>
          <w:lang w:val="en-GB"/>
        </w:rPr>
        <w:t xml:space="preserve">, para. </w:t>
      </w:r>
      <w:r w:rsidR="00937C22" w:rsidRPr="005B5A9C">
        <w:t>20</w:t>
      </w:r>
    </w:p>
  </w:footnote>
  <w:footnote w:id="36">
    <w:p w14:paraId="193EAF0D" w14:textId="2FF5692E" w:rsidR="00937C22" w:rsidRPr="00C26F9E" w:rsidRDefault="00937C22" w:rsidP="00937C22">
      <w:pPr>
        <w:pStyle w:val="FootnoteText"/>
        <w:spacing w:before="120" w:after="120" w:line="240" w:lineRule="auto"/>
      </w:pPr>
      <w:r>
        <w:tab/>
      </w:r>
      <w:r>
        <w:rPr>
          <w:rStyle w:val="FootnoteReference"/>
        </w:rPr>
        <w:footnoteRef/>
      </w:r>
      <w:r>
        <w:tab/>
      </w:r>
      <w:r w:rsidRPr="001A4E44">
        <w:rPr>
          <w:rFonts w:eastAsia="MS Mincho"/>
        </w:rPr>
        <w:t>Article 19(3)’s public morals exception</w:t>
      </w:r>
      <w:r>
        <w:rPr>
          <w:rFonts w:eastAsia="MS Mincho"/>
        </w:rPr>
        <w:t xml:space="preserve"> would be an unlikely basis</w:t>
      </w:r>
      <w:r w:rsidRPr="001A4E44">
        <w:rPr>
          <w:rFonts w:eastAsia="MS Mincho"/>
        </w:rPr>
        <w:t xml:space="preserve">, but </w:t>
      </w:r>
      <w:r>
        <w:rPr>
          <w:rFonts w:eastAsia="MS Mincho"/>
        </w:rPr>
        <w:t xml:space="preserve">it bears noting that </w:t>
      </w:r>
      <w:r w:rsidRPr="001A4E44">
        <w:rPr>
          <w:rFonts w:eastAsia="MS Mincho"/>
        </w:rPr>
        <w:t xml:space="preserve">the Human Rights Committee has clarified that “‘the purpose of protecting morals must be based on principles not deriving exclusively from a single tradition’”. </w:t>
      </w:r>
      <w:r>
        <w:t xml:space="preserve">General Comment </w:t>
      </w:r>
      <w:r w:rsidRPr="00C43F60">
        <w:t>34</w:t>
      </w:r>
      <w:r w:rsidRPr="00C26F9E">
        <w:t>, para</w:t>
      </w:r>
      <w:r w:rsidR="0036222E">
        <w:t>.</w:t>
      </w:r>
      <w:r w:rsidRPr="00C26F9E">
        <w:t xml:space="preserve"> 32</w:t>
      </w:r>
    </w:p>
  </w:footnote>
  <w:footnote w:id="37">
    <w:p w14:paraId="57C6CFBA" w14:textId="74D0E3EC" w:rsidR="001A4E44" w:rsidRPr="00BF618C" w:rsidRDefault="0088001A" w:rsidP="00BF618C">
      <w:pPr>
        <w:pStyle w:val="FootnoteText"/>
        <w:spacing w:before="120" w:after="120" w:line="240" w:lineRule="auto"/>
        <w:ind w:right="-81"/>
        <w:rPr>
          <w:rStyle w:val="FootnoteReference"/>
          <w:vertAlign w:val="baseline"/>
        </w:rPr>
      </w:pPr>
      <w:r>
        <w:rPr>
          <w:szCs w:val="18"/>
        </w:rPr>
        <w:tab/>
      </w:r>
      <w:r w:rsidR="001A4E44" w:rsidRPr="00BF618C">
        <w:rPr>
          <w:rStyle w:val="FootnoteReference"/>
        </w:rPr>
        <w:footnoteRef/>
      </w:r>
      <w:r w:rsidRPr="00BF618C">
        <w:rPr>
          <w:rStyle w:val="FootnoteReference"/>
        </w:rPr>
        <w:tab/>
      </w:r>
      <w:r w:rsidR="001A4E44" w:rsidRPr="00BF618C">
        <w:rPr>
          <w:rStyle w:val="FootnoteReference"/>
          <w:vertAlign w:val="baseline"/>
        </w:rPr>
        <w:t>Id., para</w:t>
      </w:r>
      <w:r w:rsidR="0036222E">
        <w:t>.</w:t>
      </w:r>
      <w:r w:rsidR="001A4E44" w:rsidRPr="00BF618C">
        <w:rPr>
          <w:rStyle w:val="FootnoteReference"/>
          <w:vertAlign w:val="baseline"/>
        </w:rPr>
        <w:t xml:space="preserve"> 48. </w:t>
      </w:r>
      <w:r w:rsidR="00C034AB">
        <w:t>In this case, the blasphemy would be beside the point; only the advocacy constituting incitement would be relevant.</w:t>
      </w:r>
    </w:p>
  </w:footnote>
  <w:footnote w:id="38">
    <w:p w14:paraId="011C07D6" w14:textId="0CC4C940" w:rsidR="001A4E44" w:rsidRPr="00250B4D" w:rsidRDefault="0088001A" w:rsidP="00BF618C">
      <w:pPr>
        <w:pStyle w:val="FootnoteText"/>
        <w:spacing w:before="120" w:after="120" w:line="240" w:lineRule="auto"/>
        <w:ind w:right="-81"/>
        <w:rPr>
          <w:rStyle w:val="FootnoteReference"/>
          <w:vertAlign w:val="baseline"/>
          <w:lang w:val="en-GB"/>
        </w:rPr>
      </w:pPr>
      <w:r w:rsidRPr="00B43129">
        <w:rPr>
          <w:rStyle w:val="FootnoteReference"/>
          <w:lang w:val="es-MX"/>
        </w:rPr>
        <w:tab/>
      </w:r>
      <w:r w:rsidR="001A4E44" w:rsidRPr="00BF618C">
        <w:rPr>
          <w:rStyle w:val="FootnoteReference"/>
        </w:rPr>
        <w:footnoteRef/>
      </w:r>
      <w:r w:rsidRPr="00766D71">
        <w:rPr>
          <w:rStyle w:val="FootnoteReference"/>
          <w:lang w:val="es-MX"/>
        </w:rPr>
        <w:tab/>
      </w:r>
      <w:r w:rsidR="002A7522" w:rsidRPr="00766D71">
        <w:rPr>
          <w:rStyle w:val="FootnoteReference"/>
          <w:vertAlign w:val="baseline"/>
          <w:lang w:val="es-MX"/>
        </w:rPr>
        <w:t>S</w:t>
      </w:r>
      <w:r w:rsidR="002A7522" w:rsidRPr="00766D71">
        <w:rPr>
          <w:lang w:val="es-MX"/>
        </w:rPr>
        <w:t xml:space="preserve">ee especially </w:t>
      </w:r>
      <w:hyperlink r:id="rId24" w:history="1">
        <w:r w:rsidR="002A7522" w:rsidRPr="00766D71">
          <w:rPr>
            <w:rStyle w:val="Hyperlink"/>
            <w:lang w:val="es-MX"/>
          </w:rPr>
          <w:t>A/HRC/31/18</w:t>
        </w:r>
      </w:hyperlink>
      <w:r w:rsidR="002A7522" w:rsidRPr="00766D71">
        <w:rPr>
          <w:lang w:val="es-MX"/>
        </w:rPr>
        <w:t xml:space="preserve"> (2015), paras</w:t>
      </w:r>
      <w:r w:rsidR="0036222E">
        <w:rPr>
          <w:lang w:val="es-MX"/>
        </w:rPr>
        <w:t>.</w:t>
      </w:r>
      <w:r w:rsidR="002A7522" w:rsidRPr="00766D71">
        <w:rPr>
          <w:lang w:val="es-MX"/>
        </w:rPr>
        <w:t xml:space="preserve"> </w:t>
      </w:r>
      <w:r w:rsidR="002A7522" w:rsidRPr="00250B4D">
        <w:rPr>
          <w:lang w:val="en-GB"/>
        </w:rPr>
        <w:t>59 – 61.</w:t>
      </w:r>
      <w:r w:rsidR="002A7522" w:rsidRPr="00250B4D">
        <w:rPr>
          <w:rStyle w:val="FootnoteReference"/>
          <w:vertAlign w:val="baseline"/>
          <w:lang w:val="en-GB"/>
        </w:rPr>
        <w:t xml:space="preserve"> </w:t>
      </w:r>
    </w:p>
  </w:footnote>
  <w:footnote w:id="39">
    <w:p w14:paraId="6A4D144C" w14:textId="7469611B" w:rsidR="001A4E44" w:rsidRPr="00BF618C" w:rsidRDefault="0088001A" w:rsidP="00BF618C">
      <w:pPr>
        <w:pStyle w:val="FootnoteText"/>
        <w:spacing w:before="120" w:after="120" w:line="240" w:lineRule="auto"/>
        <w:ind w:right="-81"/>
        <w:rPr>
          <w:rStyle w:val="FootnoteReference"/>
          <w:vertAlign w:val="baseline"/>
        </w:rPr>
      </w:pPr>
      <w:r w:rsidRPr="00250B4D">
        <w:rPr>
          <w:szCs w:val="18"/>
          <w:lang w:val="en-GB"/>
        </w:rPr>
        <w:tab/>
      </w:r>
      <w:r w:rsidR="001A4E44" w:rsidRPr="00BF618C">
        <w:rPr>
          <w:rStyle w:val="FootnoteReference"/>
        </w:rPr>
        <w:footnoteRef/>
      </w:r>
      <w:r w:rsidRPr="00BF618C">
        <w:rPr>
          <w:rStyle w:val="FootnoteReference"/>
        </w:rPr>
        <w:tab/>
      </w:r>
      <w:r w:rsidR="007057CF">
        <w:rPr>
          <w:rStyle w:val="FootnoteReference"/>
          <w:vertAlign w:val="baseline"/>
        </w:rPr>
        <w:t>G</w:t>
      </w:r>
      <w:r w:rsidR="007057CF">
        <w:t xml:space="preserve">eneral Comment </w:t>
      </w:r>
      <w:r w:rsidR="001A4E44" w:rsidRPr="00BF618C">
        <w:rPr>
          <w:rStyle w:val="FootnoteReference"/>
          <w:vertAlign w:val="baseline"/>
        </w:rPr>
        <w:t>34, para</w:t>
      </w:r>
      <w:r w:rsidR="0036222E">
        <w:t>.</w:t>
      </w:r>
      <w:r w:rsidR="001A4E44" w:rsidRPr="00BF618C">
        <w:rPr>
          <w:rStyle w:val="FootnoteReference"/>
          <w:vertAlign w:val="baseline"/>
        </w:rPr>
        <w:t xml:space="preserve"> 49. See Sarah Cleveland, </w:t>
      </w:r>
      <w:r w:rsidR="001A4E44" w:rsidRPr="007057CF">
        <w:rPr>
          <w:rStyle w:val="FootnoteReference"/>
          <w:i/>
          <w:iCs/>
          <w:vertAlign w:val="baseline"/>
        </w:rPr>
        <w:t>Hate Speech at Home and Abroad</w:t>
      </w:r>
      <w:r w:rsidR="001A4E44" w:rsidRPr="00BF618C">
        <w:rPr>
          <w:rStyle w:val="FootnoteReference"/>
          <w:vertAlign w:val="baseline"/>
        </w:rPr>
        <w:t xml:space="preserve">, in </w:t>
      </w:r>
      <w:r w:rsidR="001A4E44" w:rsidRPr="007057CF">
        <w:rPr>
          <w:rStyle w:val="FootnoteReference"/>
          <w:i/>
          <w:iCs/>
          <w:vertAlign w:val="baseline"/>
        </w:rPr>
        <w:t>Free Speech Century</w:t>
      </w:r>
      <w:r w:rsidR="001A4E44" w:rsidRPr="00BF618C">
        <w:rPr>
          <w:rStyle w:val="FootnoteReference"/>
          <w:vertAlign w:val="baseline"/>
        </w:rPr>
        <w:t xml:space="preserve"> 226 (Bollinger &amp; Stone, eds.) (2019). </w:t>
      </w:r>
      <w:r w:rsidR="007057CF">
        <w:rPr>
          <w:rStyle w:val="FootnoteReference"/>
          <w:vertAlign w:val="baseline"/>
        </w:rPr>
        <w:t>S</w:t>
      </w:r>
      <w:r w:rsidR="007057CF">
        <w:t xml:space="preserve">ee also </w:t>
      </w:r>
      <w:r w:rsidR="001A4E44" w:rsidRPr="00BF618C">
        <w:rPr>
          <w:rStyle w:val="FootnoteReference"/>
          <w:vertAlign w:val="baseline"/>
        </w:rPr>
        <w:t>A/67/357, para. 55</w:t>
      </w:r>
      <w:r w:rsidR="00517419">
        <w:t>.</w:t>
      </w:r>
    </w:p>
  </w:footnote>
  <w:footnote w:id="40">
    <w:p w14:paraId="2A10975E" w14:textId="38AF25AE"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ARTICLE 19, </w:t>
      </w:r>
      <w:hyperlink r:id="rId25" w:history="1">
        <w:r w:rsidR="001A4E44" w:rsidRPr="003A6979">
          <w:rPr>
            <w:rStyle w:val="Hyperlink"/>
            <w:i/>
            <w:iCs/>
          </w:rPr>
          <w:t>Hate Speech Explained: A Toolkit</w:t>
        </w:r>
      </w:hyperlink>
      <w:r w:rsidR="001A4E44" w:rsidRPr="00BF618C">
        <w:rPr>
          <w:rStyle w:val="FootnoteReference"/>
          <w:vertAlign w:val="baseline"/>
        </w:rPr>
        <w:t xml:space="preserve"> (2015), page 22</w:t>
      </w:r>
      <w:r w:rsidR="00517419">
        <w:t>.</w:t>
      </w:r>
    </w:p>
  </w:footnote>
  <w:footnote w:id="41">
    <w:p w14:paraId="580CBBCD" w14:textId="09BF463E" w:rsidR="00096CE2" w:rsidRDefault="00766D71">
      <w:pPr>
        <w:pStyle w:val="FootnoteText"/>
      </w:pPr>
      <w:r>
        <w:tab/>
      </w:r>
      <w:r w:rsidR="00096CE2">
        <w:rPr>
          <w:rStyle w:val="FootnoteReference"/>
        </w:rPr>
        <w:footnoteRef/>
      </w:r>
      <w:r>
        <w:tab/>
      </w:r>
      <w:r w:rsidR="00096CE2">
        <w:t xml:space="preserve">See especially </w:t>
      </w:r>
      <w:hyperlink r:id="rId26" w:history="1">
        <w:r w:rsidR="00096CE2" w:rsidRPr="00096CE2">
          <w:rPr>
            <w:rStyle w:val="Hyperlink"/>
          </w:rPr>
          <w:t>A/HRC/39/64</w:t>
        </w:r>
      </w:hyperlink>
      <w:r w:rsidR="00096CE2">
        <w:t xml:space="preserve"> (2018), at para</w:t>
      </w:r>
      <w:r w:rsidR="0036222E">
        <w:t>.</w:t>
      </w:r>
      <w:r w:rsidR="00096CE2">
        <w:t xml:space="preserve"> 73.</w:t>
      </w:r>
      <w:r w:rsidR="007057CF">
        <w:t xml:space="preserve"> </w:t>
      </w:r>
      <w:r w:rsidR="007057CF">
        <w:rPr>
          <w:rStyle w:val="FootnoteReference"/>
          <w:vertAlign w:val="baseline"/>
        </w:rPr>
        <w:t>T</w:t>
      </w:r>
      <w:r w:rsidR="007057CF" w:rsidRPr="00BF618C">
        <w:rPr>
          <w:rStyle w:val="FootnoteReference"/>
          <w:vertAlign w:val="baseline"/>
        </w:rPr>
        <w:t>he Genocide Convention calls for the criminalization of “direct and public incitement to commit genocide”. See Convention on the Prevention and Punishment of the Crime of Genocide, Article III (c).</w:t>
      </w:r>
    </w:p>
  </w:footnote>
  <w:footnote w:id="42">
    <w:p w14:paraId="70F90935" w14:textId="28EC5522"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716B36">
        <w:t xml:space="preserve">ECtHR, </w:t>
      </w:r>
      <w:r w:rsidR="00716B36" w:rsidRPr="00937C22">
        <w:rPr>
          <w:rStyle w:val="FootnoteReference"/>
          <w:i/>
          <w:iCs/>
          <w:vertAlign w:val="baseline"/>
        </w:rPr>
        <w:t>Handyside vs United Kingdom</w:t>
      </w:r>
      <w:r w:rsidR="00716B36">
        <w:rPr>
          <w:rStyle w:val="FootnoteReference"/>
          <w:vertAlign w:val="baseline"/>
        </w:rPr>
        <w:t xml:space="preserve">, </w:t>
      </w:r>
      <w:r w:rsidR="00716B36">
        <w:t xml:space="preserve">7 December 1976, </w:t>
      </w:r>
      <w:r w:rsidR="00716B36">
        <w:rPr>
          <w:rStyle w:val="FootnoteReference"/>
          <w:vertAlign w:val="baseline"/>
        </w:rPr>
        <w:t>para. 49</w:t>
      </w:r>
      <w:r w:rsidR="001A4E44" w:rsidRPr="00BF618C">
        <w:rPr>
          <w:rStyle w:val="FootnoteReference"/>
          <w:vertAlign w:val="baseline"/>
        </w:rPr>
        <w:t>.</w:t>
      </w:r>
      <w:r w:rsidR="00850C70" w:rsidRPr="00850C70">
        <w:rPr>
          <w:rStyle w:val="FootnoteReference"/>
          <w:vertAlign w:val="baseline"/>
        </w:rPr>
        <w:t xml:space="preserve"> </w:t>
      </w:r>
      <w:r w:rsidR="00850C70" w:rsidRPr="00BF618C">
        <w:rPr>
          <w:rStyle w:val="FootnoteReference"/>
          <w:vertAlign w:val="baseline"/>
        </w:rPr>
        <w:t xml:space="preserve">See Sejal Parmer, </w:t>
      </w:r>
      <w:hyperlink r:id="rId27" w:history="1">
        <w:r w:rsidR="00850C70" w:rsidRPr="00937C22">
          <w:rPr>
            <w:rStyle w:val="FootnoteReference"/>
            <w:i/>
            <w:iCs/>
            <w:vertAlign w:val="baseline"/>
          </w:rPr>
          <w:t>The Legal Framework for Addressing ‘Hate Speech’ in Europe</w:t>
        </w:r>
      </w:hyperlink>
      <w:r w:rsidR="00850C70" w:rsidRPr="00BF618C">
        <w:rPr>
          <w:rStyle w:val="FootnoteReference"/>
          <w:vertAlign w:val="baseline"/>
        </w:rPr>
        <w:t>, 6-7 November 2018 (Council of Europe Conference: Addressing Hate Speech in the Media, Zagreb, Croatia).</w:t>
      </w:r>
    </w:p>
  </w:footnote>
  <w:footnote w:id="43">
    <w:p w14:paraId="1CE32DEB" w14:textId="0437CC96"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Council of Europe, </w:t>
      </w:r>
      <w:hyperlink r:id="rId28" w:history="1">
        <w:r w:rsidR="001A4E44" w:rsidRPr="00BF618C">
          <w:rPr>
            <w:rStyle w:val="FootnoteReference"/>
            <w:vertAlign w:val="baseline"/>
          </w:rPr>
          <w:t>Fact Sheet on Hate Speech</w:t>
        </w:r>
      </w:hyperlink>
      <w:r w:rsidR="001A4E44" w:rsidRPr="00BF618C">
        <w:rPr>
          <w:rStyle w:val="FootnoteReference"/>
          <w:vertAlign w:val="baseline"/>
        </w:rPr>
        <w:t xml:space="preserve"> (March 2019); Evelyn M. Aswad, </w:t>
      </w:r>
      <w:hyperlink r:id="rId29" w:history="1">
        <w:r w:rsidR="001A4E44" w:rsidRPr="00CA7F5E">
          <w:rPr>
            <w:rStyle w:val="Hyperlink"/>
            <w:i/>
            <w:iCs/>
          </w:rPr>
          <w:t>The Future of Freedom of Expression Online</w:t>
        </w:r>
      </w:hyperlink>
      <w:r w:rsidR="001A4E44" w:rsidRPr="00BF618C">
        <w:rPr>
          <w:rStyle w:val="FootnoteReference"/>
          <w:vertAlign w:val="baseline"/>
        </w:rPr>
        <w:t xml:space="preserve">, 17 Duke Law and Technology Review 26, 44 (2018). </w:t>
      </w:r>
    </w:p>
  </w:footnote>
  <w:footnote w:id="44">
    <w:p w14:paraId="603F7103" w14:textId="4A193943" w:rsidR="008D1DFE" w:rsidRDefault="00766D71">
      <w:pPr>
        <w:pStyle w:val="FootnoteText"/>
      </w:pPr>
      <w:r>
        <w:tab/>
      </w:r>
      <w:r w:rsidR="008D1DFE">
        <w:rPr>
          <w:rStyle w:val="FootnoteReference"/>
        </w:rPr>
        <w:footnoteRef/>
      </w:r>
      <w:r>
        <w:tab/>
      </w:r>
      <w:r w:rsidR="00740288">
        <w:t xml:space="preserve">For an overview of practice, see Council of Europe, </w:t>
      </w:r>
      <w:hyperlink r:id="rId30" w:history="1">
        <w:r w:rsidR="00740288" w:rsidRPr="00CA7F5E">
          <w:rPr>
            <w:rStyle w:val="Hyperlink"/>
          </w:rPr>
          <w:t>Guide on Article 17 of the European Convention on Human Rights</w:t>
        </w:r>
      </w:hyperlink>
      <w:r w:rsidR="00740288">
        <w:t xml:space="preserve"> (updated 31 August 2019).</w:t>
      </w:r>
    </w:p>
  </w:footnote>
  <w:footnote w:id="45">
    <w:p w14:paraId="526546FE" w14:textId="2077DC02"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740288">
        <w:rPr>
          <w:rStyle w:val="FootnoteReference"/>
          <w:vertAlign w:val="baseline"/>
        </w:rPr>
        <w:t xml:space="preserve">Compare Delfi </w:t>
      </w:r>
      <w:r w:rsidR="00740288">
        <w:rPr>
          <w:rStyle w:val="FootnoteReference"/>
          <w:vertAlign w:val="baseline"/>
        </w:rPr>
        <w:t xml:space="preserve">AS </w:t>
      </w:r>
      <w:r w:rsidR="001A4E44" w:rsidRPr="00740288">
        <w:rPr>
          <w:rStyle w:val="FootnoteReference"/>
          <w:vertAlign w:val="baseline"/>
        </w:rPr>
        <w:t>v Estonia</w:t>
      </w:r>
      <w:r w:rsidR="00740288">
        <w:rPr>
          <w:rStyle w:val="FootnoteReference"/>
          <w:vertAlign w:val="baseline"/>
        </w:rPr>
        <w:t>, application no. 64569/09, ECtHR, [GC] judgment 16 June 2015</w:t>
      </w:r>
      <w:r w:rsidR="001A4E44" w:rsidRPr="00740288">
        <w:rPr>
          <w:rStyle w:val="FootnoteReference"/>
          <w:vertAlign w:val="baseline"/>
        </w:rPr>
        <w:t xml:space="preserve"> with Magyar Tartalomszolgáltatók Egyesülete and Index.hu Zrt v. Hungary</w:t>
      </w:r>
      <w:r w:rsidR="00740288">
        <w:t>, application no. 22947/13, ECtHR, judgment 2 February 20116</w:t>
      </w:r>
      <w:r w:rsidR="001A4E44" w:rsidRPr="00BF618C">
        <w:rPr>
          <w:rStyle w:val="FootnoteReference"/>
          <w:vertAlign w:val="baseline"/>
        </w:rPr>
        <w:t>. See</w:t>
      </w:r>
      <w:r w:rsidR="00CA7F5E">
        <w:rPr>
          <w:rStyle w:val="FootnoteReference"/>
          <w:vertAlign w:val="baseline"/>
        </w:rPr>
        <w:t xml:space="preserve"> also</w:t>
      </w:r>
      <w:r w:rsidR="001A4E44" w:rsidRPr="00BF618C">
        <w:rPr>
          <w:rStyle w:val="FootnoteReference"/>
          <w:vertAlign w:val="baseline"/>
        </w:rPr>
        <w:t xml:space="preserve"> ARTICLE 19, </w:t>
      </w:r>
      <w:hyperlink r:id="rId31" w:history="1">
        <w:r w:rsidR="001A4E44" w:rsidRPr="003A6979">
          <w:rPr>
            <w:rStyle w:val="FootnoteReference"/>
            <w:i/>
            <w:iCs/>
            <w:vertAlign w:val="baseline"/>
          </w:rPr>
          <w:t>Responding to ‘hate speech’: Comparative overview of six EU countries</w:t>
        </w:r>
      </w:hyperlink>
      <w:r w:rsidR="001A4E44" w:rsidRPr="00BF618C">
        <w:rPr>
          <w:rStyle w:val="FootnoteReference"/>
          <w:vertAlign w:val="baseline"/>
        </w:rPr>
        <w:t xml:space="preserve"> (2018).</w:t>
      </w:r>
    </w:p>
  </w:footnote>
  <w:footnote w:id="46">
    <w:p w14:paraId="12616813" w14:textId="5DEA9C5C" w:rsidR="001A4E44" w:rsidRPr="00BF618C" w:rsidRDefault="0088001A" w:rsidP="00BF618C">
      <w:pPr>
        <w:pStyle w:val="FootnoteText"/>
        <w:spacing w:before="120" w:after="120" w:line="240" w:lineRule="auto"/>
        <w:ind w:right="-81"/>
        <w:rPr>
          <w:rStyle w:val="FootnoteReferenc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Inter-American Commission on Human Rights, </w:t>
      </w:r>
      <w:hyperlink r:id="rId32" w:history="1">
        <w:r w:rsidR="001A4E44" w:rsidRPr="003A6979">
          <w:rPr>
            <w:rStyle w:val="FootnoteReference"/>
            <w:i/>
            <w:iCs/>
            <w:vertAlign w:val="baseline"/>
          </w:rPr>
          <w:t>Hate Speech and Incitement to Violence Against Lesbian, Gay, Bisexual, Trans and Intersex Person in the Americas</w:t>
        </w:r>
      </w:hyperlink>
      <w:r w:rsidR="001A4E44" w:rsidRPr="00BF618C">
        <w:rPr>
          <w:rStyle w:val="FootnoteReference"/>
          <w:vertAlign w:val="baseline"/>
        </w:rPr>
        <w:t xml:space="preserve"> (12 November 2015).</w:t>
      </w:r>
      <w:r w:rsidR="001A4E44" w:rsidRPr="00BF618C">
        <w:rPr>
          <w:rStyle w:val="FootnoteReference"/>
        </w:rPr>
        <w:t xml:space="preserve"> </w:t>
      </w:r>
    </w:p>
  </w:footnote>
  <w:footnote w:id="47">
    <w:p w14:paraId="3DE266A9" w14:textId="09F66EB3" w:rsidR="001A4E44" w:rsidRPr="002138E6" w:rsidRDefault="0088001A" w:rsidP="001A4E44">
      <w:pPr>
        <w:pStyle w:val="FootnoteText"/>
        <w:spacing w:before="120" w:after="120" w:line="240" w:lineRule="auto"/>
        <w:rPr>
          <w:lang w:val="fr-FR"/>
        </w:rPr>
      </w:pPr>
      <w:r>
        <w:rPr>
          <w:lang w:val="es-AR"/>
        </w:rPr>
        <w:tab/>
      </w:r>
      <w:r w:rsidR="001A4E44">
        <w:rPr>
          <w:rStyle w:val="FootnoteReference"/>
        </w:rPr>
        <w:footnoteRef/>
      </w:r>
      <w:r w:rsidRPr="002138E6">
        <w:rPr>
          <w:lang w:val="fr-FR"/>
        </w:rPr>
        <w:tab/>
      </w:r>
      <w:r w:rsidR="002138E6">
        <w:rPr>
          <w:lang w:val="fr-FR"/>
        </w:rPr>
        <w:t xml:space="preserve">General Comment </w:t>
      </w:r>
      <w:r w:rsidR="001A4E44" w:rsidRPr="002138E6">
        <w:rPr>
          <w:lang w:val="fr-FR"/>
        </w:rPr>
        <w:t>34, para</w:t>
      </w:r>
      <w:r w:rsidR="0036222E">
        <w:rPr>
          <w:lang w:val="fr-FR"/>
        </w:rPr>
        <w:t>.</w:t>
      </w:r>
      <w:r w:rsidR="001A4E44" w:rsidRPr="002138E6">
        <w:rPr>
          <w:lang w:val="fr-FR"/>
        </w:rPr>
        <w:t xml:space="preserve"> 36.</w:t>
      </w:r>
    </w:p>
  </w:footnote>
  <w:footnote w:id="48">
    <w:p w14:paraId="7950575A" w14:textId="40E100C5" w:rsidR="001A4E44" w:rsidRPr="00BF618C" w:rsidRDefault="0088001A" w:rsidP="00BF618C">
      <w:pPr>
        <w:pStyle w:val="FootnoteText"/>
        <w:spacing w:before="120" w:after="120" w:line="240" w:lineRule="auto"/>
        <w:rPr>
          <w:lang w:val="en-GB"/>
        </w:rPr>
      </w:pPr>
      <w:r w:rsidRPr="002138E6">
        <w:rPr>
          <w:szCs w:val="18"/>
          <w:lang w:val="fr-FR"/>
        </w:rPr>
        <w:tab/>
      </w:r>
      <w:r w:rsidR="001A4E44" w:rsidRPr="00BF618C">
        <w:rPr>
          <w:vertAlign w:val="superscript"/>
          <w:lang w:val="en-GB"/>
        </w:rPr>
        <w:footnoteRef/>
      </w:r>
      <w:r w:rsidRPr="00BF618C">
        <w:rPr>
          <w:lang w:val="en-GB"/>
        </w:rPr>
        <w:tab/>
      </w:r>
      <w:r w:rsidR="003A6979">
        <w:rPr>
          <w:lang w:val="en-GB"/>
        </w:rPr>
        <w:t>See A/HRC/35/22.</w:t>
      </w:r>
    </w:p>
  </w:footnote>
  <w:footnote w:id="49">
    <w:p w14:paraId="0DA83B69" w14:textId="5A0EE087"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For a </w:t>
      </w:r>
      <w:r w:rsidR="00DD0FA3">
        <w:rPr>
          <w:rStyle w:val="FootnoteReference"/>
          <w:vertAlign w:val="baseline"/>
        </w:rPr>
        <w:t>s</w:t>
      </w:r>
      <w:r w:rsidR="00DD0FA3">
        <w:t>tatement</w:t>
      </w:r>
      <w:r w:rsidR="001A4E44" w:rsidRPr="00BF618C">
        <w:rPr>
          <w:rStyle w:val="FootnoteReference"/>
          <w:vertAlign w:val="baseline"/>
        </w:rPr>
        <w:t xml:space="preserve"> of the principles that should apply in the context of intermediary liability, see </w:t>
      </w:r>
      <w:hyperlink r:id="rId33" w:history="1">
        <w:r w:rsidR="001A4E44" w:rsidRPr="00BF618C">
          <w:rPr>
            <w:rStyle w:val="FootnoteReference"/>
            <w:vertAlign w:val="baseline"/>
          </w:rPr>
          <w:t>Manila Principles on Intermediary Liability</w:t>
        </w:r>
      </w:hyperlink>
      <w:r w:rsidR="001A4E44" w:rsidRPr="00BF618C">
        <w:rPr>
          <w:rStyle w:val="FootnoteReference"/>
          <w:vertAlign w:val="baseline"/>
        </w:rPr>
        <w:t xml:space="preserve"> (2015).</w:t>
      </w:r>
    </w:p>
  </w:footnote>
  <w:footnote w:id="50">
    <w:p w14:paraId="63A3D417" w14:textId="2C9ACF2B" w:rsidR="00694D58" w:rsidRDefault="00766D71">
      <w:pPr>
        <w:pStyle w:val="FootnoteText"/>
      </w:pPr>
      <w:r>
        <w:tab/>
      </w:r>
      <w:r w:rsidR="00694D58">
        <w:rPr>
          <w:rStyle w:val="FootnoteReference"/>
        </w:rPr>
        <w:footnoteRef/>
      </w:r>
      <w:r>
        <w:tab/>
      </w:r>
      <w:r w:rsidR="00694D58">
        <w:t xml:space="preserve">States have largely distinguished terrorist and ‘extremist’ content from ‘hate speech’, but the same principles of legality must apply to those subjects as well. See, e.g., </w:t>
      </w:r>
      <w:hyperlink r:id="rId34" w:history="1">
        <w:r w:rsidR="00694D58" w:rsidRPr="00B62F28">
          <w:rPr>
            <w:rStyle w:val="Hyperlink"/>
          </w:rPr>
          <w:t>A/HRC/40/52</w:t>
        </w:r>
      </w:hyperlink>
      <w:r w:rsidR="00B62F28">
        <w:t>, para. 75(e)</w:t>
      </w:r>
      <w:r w:rsidR="00901308">
        <w:t>.</w:t>
      </w:r>
      <w:r w:rsidR="00694D58">
        <w:t xml:space="preserve"> </w:t>
      </w:r>
      <w:r w:rsidR="00694D58" w:rsidRPr="00A06B51">
        <w:rPr>
          <w:rFonts w:eastAsia="MS Mincho"/>
        </w:rPr>
        <w:t>The term ‘extremism’ often is deployed as a substitute for ‘hate speech’, albeit one that is not rooted in law. ‘Violent extremism’ does little to add clarity. Governments that use the phrase in good faith in an online context seem to focus on the problem of the virality of “terrorist and violent extremist ideologies” and to aim to counter “extremist” narratives and “prevent the abuse of the internet”.</w:t>
      </w:r>
    </w:p>
  </w:footnote>
  <w:footnote w:id="51">
    <w:p w14:paraId="68704A3A" w14:textId="77777777" w:rsidR="00694D58" w:rsidRPr="00BF618C" w:rsidRDefault="00694D58" w:rsidP="00694D58">
      <w:pPr>
        <w:pStyle w:val="FootnoteText"/>
        <w:spacing w:before="120" w:after="120" w:line="240" w:lineRule="auto"/>
        <w:ind w:right="-81"/>
        <w:rPr>
          <w:rStyle w:val="FootnoteReference"/>
          <w:vertAlign w:val="baseline"/>
        </w:rPr>
      </w:pPr>
      <w:r w:rsidRPr="00BF618C">
        <w:rPr>
          <w:rStyle w:val="FootnoteReference"/>
        </w:rPr>
        <w:tab/>
      </w:r>
      <w:r w:rsidRPr="00BF618C">
        <w:rPr>
          <w:rStyle w:val="FootnoteReference"/>
        </w:rPr>
        <w:footnoteRef/>
      </w:r>
      <w:r w:rsidRPr="00BF618C">
        <w:rPr>
          <w:rStyle w:val="FootnoteReference"/>
        </w:rPr>
        <w:tab/>
      </w:r>
      <w:r w:rsidRPr="00BF618C">
        <w:rPr>
          <w:rStyle w:val="FootnoteReference"/>
          <w:vertAlign w:val="baseline"/>
        </w:rPr>
        <w:t>This is not to preclude the possibility of civil claims that one individual may bring against another for traditional torts that take place online instead of offline. But defining the expression that may cause legally redressable harm is required under Article 19 of the ICCPR.</w:t>
      </w:r>
    </w:p>
  </w:footnote>
  <w:footnote w:id="52">
    <w:p w14:paraId="6218CF1E" w14:textId="56D4AA83" w:rsidR="001A4E44" w:rsidRPr="00B62F28" w:rsidRDefault="0088001A" w:rsidP="00B62F28">
      <w:pPr>
        <w:pStyle w:val="FootnoteText"/>
        <w:spacing w:before="120" w:after="120"/>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hyperlink r:id="rId35" w:history="1">
        <w:r w:rsidR="00B62F28" w:rsidRPr="00B62F28">
          <w:rPr>
            <w:rStyle w:val="Hyperlink"/>
          </w:rPr>
          <w:t>Act to Improve Enforcement of the Law in Social Networks</w:t>
        </w:r>
      </w:hyperlink>
      <w:r w:rsidR="00B62F28" w:rsidRPr="00B62F28">
        <w:t xml:space="preserve"> (Network Enforcement Act</w:t>
      </w:r>
      <w:r w:rsidR="00B62F28">
        <w:t>)</w:t>
      </w:r>
      <w:r w:rsidR="00B62F28" w:rsidRPr="00BF618C">
        <w:rPr>
          <w:rStyle w:val="FootnoteReference"/>
          <w:vertAlign w:val="baseline"/>
        </w:rPr>
        <w:t>, Section 1(3).</w:t>
      </w:r>
    </w:p>
  </w:footnote>
  <w:footnote w:id="53">
    <w:p w14:paraId="6CCEA9DB" w14:textId="15DE4D4C" w:rsidR="001A4E44" w:rsidRPr="00BF618C" w:rsidRDefault="0088001A" w:rsidP="00BF618C">
      <w:pPr>
        <w:pStyle w:val="FootnoteText"/>
        <w:spacing w:before="120" w:after="120" w:line="240" w:lineRule="auto"/>
        <w:ind w:right="-81"/>
        <w:rPr>
          <w:rStyle w:val="FootnoteReference"/>
        </w:rPr>
      </w:pPr>
      <w:r w:rsidRPr="00BF618C">
        <w:rPr>
          <w:rStyle w:val="FootnoteReference"/>
        </w:rPr>
        <w:tab/>
      </w:r>
      <w:r w:rsidR="001A4E44" w:rsidRPr="00BF618C">
        <w:rPr>
          <w:rStyle w:val="FootnoteReference"/>
        </w:rPr>
        <w:footnoteRef/>
      </w:r>
      <w:r w:rsidRPr="00BF618C">
        <w:rPr>
          <w:rStyle w:val="FootnoteReference"/>
        </w:rPr>
        <w:tab/>
      </w:r>
      <w:hyperlink r:id="rId36" w:history="1">
        <w:r w:rsidR="001A4E44" w:rsidRPr="00BF618C">
          <w:rPr>
            <w:rStyle w:val="FootnoteReference"/>
            <w:vertAlign w:val="baseline"/>
          </w:rPr>
          <w:t>German Criminal Code</w:t>
        </w:r>
      </w:hyperlink>
      <w:r w:rsidR="00B62F28">
        <w:rPr>
          <w:rStyle w:val="FootnoteReference"/>
          <w:vertAlign w:val="baseline"/>
        </w:rPr>
        <w:t xml:space="preserve"> (last amended</w:t>
      </w:r>
      <w:r w:rsidR="00B62F28">
        <w:t xml:space="preserve"> 24 September 2013),</w:t>
      </w:r>
      <w:r w:rsidR="001A4E44" w:rsidRPr="00BF618C">
        <w:rPr>
          <w:rStyle w:val="FootnoteReference"/>
          <w:vertAlign w:val="baseline"/>
        </w:rPr>
        <w:t xml:space="preserve"> Section 130. Similar references are made in the proposed French law concerning online hate speech. See </w:t>
      </w:r>
      <w:hyperlink r:id="rId37" w:history="1">
        <w:r w:rsidR="001A4E44" w:rsidRPr="00BF618C">
          <w:rPr>
            <w:rStyle w:val="FootnoteReference"/>
            <w:vertAlign w:val="baseline"/>
          </w:rPr>
          <w:t>OL FRA 6/2109</w:t>
        </w:r>
      </w:hyperlink>
      <w:r w:rsidR="001A4E44" w:rsidRPr="00BF618C">
        <w:rPr>
          <w:rStyle w:val="FootnoteReference"/>
          <w:vertAlign w:val="baseline"/>
        </w:rPr>
        <w:t xml:space="preserve"> (20 August 2019) and </w:t>
      </w:r>
      <w:hyperlink r:id="rId38" w:history="1">
        <w:r w:rsidR="001A4E44" w:rsidRPr="00BF618C">
          <w:rPr>
            <w:rStyle w:val="FootnoteReference"/>
            <w:vertAlign w:val="baseline"/>
          </w:rPr>
          <w:t>Response of the Government of France</w:t>
        </w:r>
      </w:hyperlink>
      <w:r w:rsidR="001A4E44" w:rsidRPr="00BF618C">
        <w:rPr>
          <w:rStyle w:val="FootnoteReference"/>
          <w:vertAlign w:val="baseline"/>
        </w:rPr>
        <w:t xml:space="preserve"> (23 August 2019).</w:t>
      </w:r>
      <w:r w:rsidR="001A4E44" w:rsidRPr="00BF618C">
        <w:rPr>
          <w:rStyle w:val="FootnoteReference"/>
        </w:rPr>
        <w:t xml:space="preserve"> </w:t>
      </w:r>
    </w:p>
  </w:footnote>
  <w:footnote w:id="54">
    <w:p w14:paraId="4F572F58" w14:textId="467A175D" w:rsidR="001A4E44" w:rsidRPr="00F345A6" w:rsidRDefault="0088001A" w:rsidP="001A4E44">
      <w:pPr>
        <w:pStyle w:val="FootnoteText"/>
        <w:spacing w:before="120" w:after="120" w:line="240" w:lineRule="auto"/>
        <w:ind w:right="-81"/>
      </w:pPr>
      <w:r>
        <w:tab/>
      </w:r>
      <w:r w:rsidR="001A4E44">
        <w:rPr>
          <w:rStyle w:val="FootnoteReference"/>
        </w:rPr>
        <w:footnoteRef/>
      </w:r>
      <w:r>
        <w:tab/>
      </w:r>
      <w:r w:rsidR="001A4E44">
        <w:t xml:space="preserve">But see </w:t>
      </w:r>
      <w:r w:rsidR="00740288" w:rsidRPr="00DD0FA3">
        <w:rPr>
          <w:i/>
          <w:iCs/>
        </w:rPr>
        <w:t>BGH Urt. v. 3 April</w:t>
      </w:r>
      <w:r w:rsidR="00740288" w:rsidRPr="00DD0FA3">
        <w:rPr>
          <w:iCs/>
        </w:rPr>
        <w:t xml:space="preserve"> </w:t>
      </w:r>
      <w:r w:rsidR="001A4E44" w:rsidRPr="00DD0FA3">
        <w:rPr>
          <w:i/>
          <w:iCs/>
        </w:rPr>
        <w:t>2008</w:t>
      </w:r>
      <w:r w:rsidR="001A4E44" w:rsidRPr="00DD0FA3">
        <w:t xml:space="preserve"> – 3 StR 394/07, BeckRS 2008, 06865.</w:t>
      </w:r>
    </w:p>
  </w:footnote>
  <w:footnote w:id="55">
    <w:p w14:paraId="5EC01550" w14:textId="4E018904" w:rsidR="001A4E44" w:rsidRPr="00BF618C" w:rsidRDefault="0088001A" w:rsidP="00BF618C">
      <w:pPr>
        <w:pStyle w:val="FootnoteText"/>
        <w:spacing w:before="120" w:after="120" w:line="240" w:lineRule="auto"/>
        <w:ind w:right="-81"/>
        <w:rPr>
          <w:rStyle w:val="FootnoteReference"/>
          <w:vertAlign w:val="baseline"/>
        </w:rPr>
      </w:pPr>
      <w:r>
        <w:rPr>
          <w:szCs w:val="18"/>
        </w:rPr>
        <w:tab/>
      </w:r>
      <w:r w:rsidR="001A4E44" w:rsidRPr="00BF618C">
        <w:rPr>
          <w:rStyle w:val="FootnoteReference"/>
        </w:rPr>
        <w:footnoteRef/>
      </w:r>
      <w:r w:rsidRPr="00BF618C">
        <w:rPr>
          <w:rStyle w:val="FootnoteReference"/>
        </w:rPr>
        <w:tab/>
      </w:r>
      <w:r w:rsidR="001A4E44" w:rsidRPr="00BF618C">
        <w:rPr>
          <w:rStyle w:val="FootnoteReference"/>
          <w:vertAlign w:val="baseline"/>
        </w:rPr>
        <w:t>The previous Special Rapporteur noted that “any restriction must be applied by a body that is independent of political, commercial or other unwarranted influences in a manner that is neither arbitrary nor discriminatory, and with adequate safeguards against abuse”. A/67/357 para</w:t>
      </w:r>
      <w:r w:rsidR="0036222E">
        <w:t>.</w:t>
      </w:r>
      <w:r w:rsidR="001A4E44" w:rsidRPr="00BF618C">
        <w:rPr>
          <w:rStyle w:val="FootnoteReference"/>
          <w:vertAlign w:val="baseline"/>
        </w:rPr>
        <w:t xml:space="preserve"> 42. </w:t>
      </w:r>
    </w:p>
  </w:footnote>
  <w:footnote w:id="56">
    <w:p w14:paraId="09FE8FCF" w14:textId="77777777"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w:t>
      </w:r>
      <w:hyperlink r:id="rId39" w:history="1">
        <w:r w:rsidR="001A4E44" w:rsidRPr="00BF618C">
          <w:rPr>
            <w:rStyle w:val="FootnoteReference"/>
            <w:vertAlign w:val="baseline"/>
          </w:rPr>
          <w:t>OL AUS 5/2019</w:t>
        </w:r>
      </w:hyperlink>
      <w:r w:rsidR="001A4E44" w:rsidRPr="00BF618C">
        <w:rPr>
          <w:rStyle w:val="FootnoteReference"/>
          <w:vertAlign w:val="baseline"/>
        </w:rPr>
        <w:t xml:space="preserve">; and response </w:t>
      </w:r>
      <w:hyperlink r:id="rId40" w:history="1">
        <w:r w:rsidR="001A4E44" w:rsidRPr="00BF618C">
          <w:rPr>
            <w:rStyle w:val="FootnoteReference"/>
            <w:vertAlign w:val="baseline"/>
          </w:rPr>
          <w:t>from the Permanent Mission of Australia</w:t>
        </w:r>
      </w:hyperlink>
      <w:r w:rsidR="001A4E44" w:rsidRPr="00BF618C">
        <w:rPr>
          <w:rStyle w:val="FootnoteReference"/>
          <w:vertAlign w:val="baseline"/>
        </w:rPr>
        <w:t>, 23 September 2019.</w:t>
      </w:r>
    </w:p>
  </w:footnote>
  <w:footnote w:id="57">
    <w:p w14:paraId="05DFA157" w14:textId="2BF23CF0"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hyperlink r:id="rId41" w:history="1">
        <w:r w:rsidR="001A4E44" w:rsidRPr="00BF618C">
          <w:rPr>
            <w:rStyle w:val="FootnoteReference"/>
            <w:vertAlign w:val="baseline"/>
          </w:rPr>
          <w:t>OL OTH 71/2018</w:t>
        </w:r>
      </w:hyperlink>
      <w:r w:rsidR="001A4E44" w:rsidRPr="00BF618C">
        <w:rPr>
          <w:rStyle w:val="FootnoteReference"/>
          <w:vertAlign w:val="baseline"/>
        </w:rPr>
        <w:t>. The European Commission recommendation on measures to effective tackle illegal content online, para</w:t>
      </w:r>
      <w:r w:rsidR="0036222E">
        <w:t>.</w:t>
      </w:r>
      <w:r w:rsidR="001A4E44" w:rsidRPr="00BF618C">
        <w:rPr>
          <w:rStyle w:val="FootnoteReference"/>
          <w:vertAlign w:val="baseline"/>
        </w:rPr>
        <w:t xml:space="preserve"> 36 (1 March 2018), calls for “proactive measures, including by using automated means, in order to detect, identify and expeditiously remove or disable access to terrorist content.” </w:t>
      </w:r>
    </w:p>
  </w:footnote>
  <w:footnote w:id="58">
    <w:p w14:paraId="6F3D2F5D" w14:textId="77777777" w:rsidR="001A4E44" w:rsidRPr="00BF618C" w:rsidRDefault="0088001A" w:rsidP="00BF618C">
      <w:pPr>
        <w:pStyle w:val="FootnoteText"/>
        <w:spacing w:before="120" w:after="120" w:line="240" w:lineRule="auto"/>
        <w:ind w:right="-81"/>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Center for Democracy and Technology, </w:t>
      </w:r>
      <w:hyperlink r:id="rId42" w:history="1">
        <w:r w:rsidR="001A4E44" w:rsidRPr="003A6979">
          <w:rPr>
            <w:rStyle w:val="FootnoteReference"/>
            <w:i/>
            <w:iCs/>
            <w:vertAlign w:val="baseline"/>
          </w:rPr>
          <w:t>Mixed Messages? The Limits of Automated Social Media Content Analysis</w:t>
        </w:r>
      </w:hyperlink>
      <w:r w:rsidR="001A4E44" w:rsidRPr="00BF618C">
        <w:rPr>
          <w:rStyle w:val="FootnoteReference"/>
          <w:vertAlign w:val="baseline"/>
        </w:rPr>
        <w:t xml:space="preserve"> (2017).</w:t>
      </w:r>
    </w:p>
  </w:footnote>
  <w:footnote w:id="59">
    <w:p w14:paraId="194EFBCC" w14:textId="77777777" w:rsidR="001A4E44" w:rsidRPr="00BF618C" w:rsidRDefault="0088001A" w:rsidP="00BF618C">
      <w:pPr>
        <w:pStyle w:val="FootnoteText"/>
        <w:spacing w:before="120" w:after="120" w:line="240" w:lineRule="auto"/>
        <w:ind w:right="-81"/>
        <w:rPr>
          <w:rStyle w:val="FootnoteReferenc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On the serious freedom of expression concerns raised by upload filters, see Daphne Keller, </w:t>
      </w:r>
      <w:hyperlink r:id="rId43" w:history="1">
        <w:r w:rsidR="001A4E44" w:rsidRPr="003A6979">
          <w:rPr>
            <w:rStyle w:val="FootnoteReference"/>
            <w:i/>
            <w:iCs/>
            <w:vertAlign w:val="baseline"/>
          </w:rPr>
          <w:t>Dolphins in the Net: Internet Content Filters and the Advocate General’s Glawischnig-Pieczek v. Facebook Opinion</w:t>
        </w:r>
      </w:hyperlink>
      <w:r w:rsidR="001A4E44" w:rsidRPr="00BF618C">
        <w:rPr>
          <w:rStyle w:val="FootnoteReference"/>
          <w:vertAlign w:val="baseline"/>
        </w:rPr>
        <w:t xml:space="preserve"> (Stanford: 2019).</w:t>
      </w:r>
    </w:p>
  </w:footnote>
  <w:footnote w:id="60">
    <w:p w14:paraId="061E8213" w14:textId="60983E37" w:rsidR="001A4E44" w:rsidRPr="0083184E" w:rsidRDefault="0088001A" w:rsidP="002138E6">
      <w:pPr>
        <w:pStyle w:val="FootnoteText"/>
        <w:spacing w:before="120" w:after="120"/>
      </w:pPr>
      <w:r>
        <w:tab/>
      </w:r>
      <w:r w:rsidR="001A4E44">
        <w:rPr>
          <w:rStyle w:val="FootnoteReference"/>
        </w:rPr>
        <w:footnoteRef/>
      </w:r>
      <w:r>
        <w:tab/>
      </w:r>
      <w:r w:rsidR="001A4E44">
        <w:t xml:space="preserve">See </w:t>
      </w:r>
      <w:hyperlink r:id="rId44" w:history="1">
        <w:r w:rsidR="001A4E44" w:rsidRPr="0083184E">
          <w:rPr>
            <w:rStyle w:val="Hyperlink"/>
          </w:rPr>
          <w:t>OL IND 7/2017</w:t>
        </w:r>
      </w:hyperlink>
      <w:r w:rsidR="001A4E44">
        <w:t xml:space="preserve">; </w:t>
      </w:r>
      <w:hyperlink r:id="rId45" w:history="1">
        <w:r w:rsidR="001A4E44" w:rsidRPr="0083184E">
          <w:rPr>
            <w:rStyle w:val="Hyperlink"/>
          </w:rPr>
          <w:t>OL IND 5/2016</w:t>
        </w:r>
      </w:hyperlink>
      <w:r w:rsidR="001A4E44">
        <w:t xml:space="preserve">; </w:t>
      </w:r>
      <w:r w:rsidR="00716B36">
        <w:t>See also the press release</w:t>
      </w:r>
      <w:hyperlink r:id="rId46" w:history="1">
        <w:r w:rsidR="001A4E44" w:rsidRPr="002138E6">
          <w:rPr>
            <w:rStyle w:val="Hyperlink"/>
            <w:i/>
            <w:iCs/>
          </w:rPr>
          <w:t xml:space="preserve"> </w:t>
        </w:r>
        <w:r w:rsidR="00583572" w:rsidRPr="002138E6">
          <w:rPr>
            <w:rStyle w:val="Hyperlink"/>
            <w:i/>
            <w:iCs/>
          </w:rPr>
          <w:t>UN rights experts urge India to end communications shutdown in Kashmir</w:t>
        </w:r>
      </w:hyperlink>
      <w:r w:rsidR="00583572">
        <w:rPr>
          <w:i/>
          <w:iCs/>
        </w:rPr>
        <w:t xml:space="preserve">, 22 August 2019. </w:t>
      </w:r>
    </w:p>
  </w:footnote>
  <w:footnote w:id="61">
    <w:p w14:paraId="1F0616F2" w14:textId="77777777" w:rsidR="00321220" w:rsidRPr="00BF618C" w:rsidRDefault="00321220" w:rsidP="00321220">
      <w:pPr>
        <w:pStyle w:val="FootnoteText"/>
        <w:spacing w:before="120" w:after="120" w:line="240" w:lineRule="auto"/>
        <w:ind w:left="0" w:firstLine="0"/>
      </w:pPr>
      <w:r w:rsidRPr="00BF618C">
        <w:tab/>
      </w:r>
      <w:r w:rsidRPr="00BF618C">
        <w:rPr>
          <w:vertAlign w:val="superscript"/>
        </w:rPr>
        <w:footnoteRef/>
      </w:r>
      <w:r w:rsidRPr="00BF618C">
        <w:tab/>
        <w:t xml:space="preserve">Chinmayi Arun &amp; Nakul Nayak, </w:t>
      </w:r>
      <w:hyperlink r:id="rId47" w:history="1">
        <w:r w:rsidRPr="001C51C3">
          <w:rPr>
            <w:i/>
            <w:iCs/>
          </w:rPr>
          <w:t xml:space="preserve">Preliminary Findings on Online Hate Speech and the Law in India </w:t>
        </w:r>
        <w:r w:rsidRPr="001C51C3">
          <w:rPr>
            <w:i/>
            <w:iCs/>
          </w:rPr>
          <w:tab/>
        </w:r>
        <w:r w:rsidRPr="001C51C3">
          <w:rPr>
            <w:i/>
            <w:iCs/>
          </w:rPr>
          <w:tab/>
          <w:t>Defining Hate Speech</w:t>
        </w:r>
      </w:hyperlink>
      <w:r w:rsidRPr="00BF618C">
        <w:t>, Berkman-Klein Center Publication 2016-19, at 11.</w:t>
      </w:r>
    </w:p>
  </w:footnote>
  <w:footnote w:id="62">
    <w:p w14:paraId="31251707" w14:textId="77777777" w:rsidR="001A4E44" w:rsidRPr="00BF618C" w:rsidRDefault="0088001A" w:rsidP="00BF618C">
      <w:pPr>
        <w:pStyle w:val="FootnoteText"/>
        <w:spacing w:before="120" w:after="120" w:line="240" w:lineRule="auto"/>
        <w:ind w:left="0" w:firstLine="0"/>
      </w:pPr>
      <w:r>
        <w:tab/>
      </w:r>
      <w:r w:rsidR="001A4E44" w:rsidRPr="00BF618C">
        <w:rPr>
          <w:vertAlign w:val="superscript"/>
        </w:rPr>
        <w:footnoteRef/>
      </w:r>
      <w:r>
        <w:tab/>
      </w:r>
      <w:hyperlink r:id="rId48" w:history="1">
        <w:r w:rsidR="001A4E44" w:rsidRPr="003A6979">
          <w:rPr>
            <w:i/>
            <w:iCs/>
          </w:rPr>
          <w:t xml:space="preserve">Creating a French framework to make social media platforms more accountable: Acting in France </w:t>
        </w:r>
        <w:r w:rsidR="00BF618C" w:rsidRPr="003A6979">
          <w:rPr>
            <w:i/>
            <w:iCs/>
          </w:rPr>
          <w:tab/>
        </w:r>
        <w:r w:rsidR="00BF618C" w:rsidRPr="003A6979">
          <w:rPr>
            <w:i/>
            <w:iCs/>
          </w:rPr>
          <w:tab/>
        </w:r>
        <w:r w:rsidR="001A4E44" w:rsidRPr="003A6979">
          <w:rPr>
            <w:i/>
            <w:iCs/>
          </w:rPr>
          <w:t>with a European vision</w:t>
        </w:r>
      </w:hyperlink>
      <w:r w:rsidR="001A4E44" w:rsidRPr="00BF618C">
        <w:t xml:space="preserve">, Interim Mission Report Submitted to the French Secretary of State for Digital </w:t>
      </w:r>
      <w:r w:rsidR="00BF618C">
        <w:tab/>
      </w:r>
      <w:r w:rsidR="00BF618C">
        <w:tab/>
      </w:r>
      <w:r w:rsidR="001A4E44" w:rsidRPr="00BF618C">
        <w:t>Affairs, May 2019.</w:t>
      </w:r>
    </w:p>
  </w:footnote>
  <w:footnote w:id="63">
    <w:p w14:paraId="76F14593" w14:textId="07189EE7" w:rsidR="001A4E44" w:rsidRPr="00E471A9" w:rsidRDefault="0088001A" w:rsidP="001A4E44">
      <w:pPr>
        <w:pStyle w:val="FootnoteText"/>
        <w:spacing w:before="120" w:after="120" w:line="240" w:lineRule="auto"/>
      </w:pPr>
      <w:r>
        <w:tab/>
      </w:r>
      <w:r w:rsidR="001A4E44">
        <w:rPr>
          <w:rStyle w:val="FootnoteReference"/>
        </w:rPr>
        <w:footnoteRef/>
      </w:r>
      <w:r>
        <w:tab/>
      </w:r>
      <w:r w:rsidR="001A4E44">
        <w:t>See A/67/357, paras</w:t>
      </w:r>
      <w:r w:rsidR="0036222E">
        <w:t>.</w:t>
      </w:r>
      <w:r w:rsidR="001A4E44">
        <w:t xml:space="preserve"> 51 – 55.</w:t>
      </w:r>
    </w:p>
  </w:footnote>
  <w:footnote w:id="64">
    <w:p w14:paraId="21071709" w14:textId="77777777" w:rsidR="001A4E44" w:rsidRPr="006C176D" w:rsidRDefault="0088001A" w:rsidP="001A4E44">
      <w:pPr>
        <w:pStyle w:val="FootnoteText"/>
        <w:spacing w:before="120" w:after="120" w:line="240" w:lineRule="auto"/>
      </w:pPr>
      <w:r>
        <w:tab/>
      </w:r>
      <w:r w:rsidR="001A4E44">
        <w:rPr>
          <w:rStyle w:val="FootnoteReference"/>
        </w:rPr>
        <w:footnoteRef/>
      </w:r>
      <w:r>
        <w:tab/>
      </w:r>
      <w:r w:rsidR="001A4E44">
        <w:t xml:space="preserve">See </w:t>
      </w:r>
      <w:hyperlink r:id="rId49" w:history="1">
        <w:r w:rsidR="001A4E44" w:rsidRPr="006C176D">
          <w:rPr>
            <w:rStyle w:val="Hyperlink"/>
          </w:rPr>
          <w:t>OL JOR 3/2018</w:t>
        </w:r>
      </w:hyperlink>
      <w:r w:rsidR="001A4E44">
        <w:t>.</w:t>
      </w:r>
    </w:p>
  </w:footnote>
  <w:footnote w:id="65">
    <w:p w14:paraId="280B66D9" w14:textId="77777777" w:rsidR="001A4E44" w:rsidRPr="0067072A" w:rsidRDefault="0088001A" w:rsidP="001A4E44">
      <w:pPr>
        <w:pStyle w:val="FootnoteText"/>
        <w:spacing w:before="120" w:after="120" w:line="240" w:lineRule="auto"/>
      </w:pPr>
      <w:r>
        <w:tab/>
      </w:r>
      <w:r w:rsidR="001A4E44">
        <w:rPr>
          <w:rStyle w:val="FootnoteReference"/>
        </w:rPr>
        <w:footnoteRef/>
      </w:r>
      <w:r>
        <w:tab/>
      </w:r>
      <w:r w:rsidR="001A4E44">
        <w:t xml:space="preserve">See Tim Wu, </w:t>
      </w:r>
      <w:r w:rsidR="001A4E44" w:rsidRPr="0067072A">
        <w:rPr>
          <w:i/>
          <w:iCs/>
        </w:rPr>
        <w:t>The Attention Merchants</w:t>
      </w:r>
      <w:r w:rsidR="001A4E44">
        <w:t xml:space="preserve"> (2016).</w:t>
      </w:r>
    </w:p>
  </w:footnote>
  <w:footnote w:id="66">
    <w:p w14:paraId="564CB7E5" w14:textId="77777777" w:rsidR="001A4E44" w:rsidRPr="00BF618C" w:rsidRDefault="00BF618C" w:rsidP="00BF618C">
      <w:pPr>
        <w:pStyle w:val="FootnoteText"/>
        <w:spacing w:before="120" w:after="120" w:line="240" w:lineRule="auto"/>
        <w:rPr>
          <w:rStyle w:val="FootnoteReference"/>
          <w:vertAlign w:val="baseline"/>
        </w:rPr>
      </w:pPr>
      <w:r w:rsidRPr="00BF618C">
        <w:rPr>
          <w:rStyle w:val="FootnoteReference"/>
        </w:rPr>
        <w:tab/>
      </w:r>
      <w:r w:rsidR="001A4E44" w:rsidRPr="00BF618C">
        <w:rPr>
          <w:rStyle w:val="FootnoteReference"/>
        </w:rPr>
        <w:footnoteRef/>
      </w:r>
      <w:r w:rsidRPr="00BF618C">
        <w:rPr>
          <w:rStyle w:val="FootnoteReference"/>
        </w:rPr>
        <w:tab/>
      </w:r>
      <w:r w:rsidR="001A4E44" w:rsidRPr="00BF618C">
        <w:rPr>
          <w:rStyle w:val="FootnoteReference"/>
          <w:vertAlign w:val="baseline"/>
        </w:rPr>
        <w:t xml:space="preserve">See Gayathry Venkiteswaran, </w:t>
      </w:r>
      <w:hyperlink r:id="rId50" w:history="1">
        <w:r w:rsidR="001A4E44" w:rsidRPr="00DD0FA3">
          <w:rPr>
            <w:rStyle w:val="FootnoteReference"/>
            <w:i/>
            <w:iCs/>
            <w:vertAlign w:val="baseline"/>
          </w:rPr>
          <w:t>‘Let the mob do the job’: How proponents of hatred are threatening freedom of expression and religion online in Asia</w:t>
        </w:r>
      </w:hyperlink>
      <w:r w:rsidR="001A4E44" w:rsidRPr="00BF618C">
        <w:rPr>
          <w:rStyle w:val="FootnoteReference"/>
          <w:vertAlign w:val="baseline"/>
        </w:rPr>
        <w:t>, Association for Progressive Communications (2017).</w:t>
      </w:r>
    </w:p>
  </w:footnote>
  <w:footnote w:id="67">
    <w:p w14:paraId="703D73C9" w14:textId="12718C06" w:rsidR="00AC608B" w:rsidRPr="00BF618C" w:rsidRDefault="00AC608B" w:rsidP="00AC608B">
      <w:pPr>
        <w:pStyle w:val="FootnoteText"/>
        <w:spacing w:before="120" w:after="120" w:line="240" w:lineRule="auto"/>
        <w:rPr>
          <w:rStyle w:val="FootnoteReference"/>
        </w:rPr>
      </w:pPr>
      <w:r>
        <w:tab/>
      </w:r>
      <w:r w:rsidRPr="00BF618C">
        <w:rPr>
          <w:rStyle w:val="FootnoteReference"/>
        </w:rPr>
        <w:footnoteRef/>
      </w:r>
      <w:r w:rsidRPr="00BF618C">
        <w:rPr>
          <w:rStyle w:val="FootnoteReference"/>
        </w:rPr>
        <w:tab/>
      </w:r>
      <w:r w:rsidRPr="00BF618C">
        <w:rPr>
          <w:rStyle w:val="FootnoteReference"/>
          <w:vertAlign w:val="baseline"/>
        </w:rPr>
        <w:t xml:space="preserve">See Kate Klonick, </w:t>
      </w:r>
      <w:hyperlink r:id="rId51" w:history="1">
        <w:r w:rsidRPr="00B5042E">
          <w:rPr>
            <w:rStyle w:val="Hyperlink"/>
            <w:i/>
            <w:iCs/>
          </w:rPr>
          <w:t>The New Governors</w:t>
        </w:r>
        <w:r w:rsidR="00B5042E" w:rsidRPr="00B5042E">
          <w:rPr>
            <w:rStyle w:val="Hyperlink"/>
            <w:i/>
            <w:iCs/>
          </w:rPr>
          <w:t>: The People, Rules and Processes Governing Online Speech</w:t>
        </w:r>
      </w:hyperlink>
      <w:r w:rsidR="00B5042E">
        <w:rPr>
          <w:rStyle w:val="FootnoteReference"/>
          <w:vertAlign w:val="baseline"/>
        </w:rPr>
        <w:t xml:space="preserve">, </w:t>
      </w:r>
      <w:r w:rsidR="00B5042E">
        <w:t>131 Harvard Law Review 1598 (2018)</w:t>
      </w:r>
      <w:r w:rsidRPr="00BF618C">
        <w:rPr>
          <w:rStyle w:val="FootnoteReference"/>
          <w:vertAlign w:val="baseline"/>
        </w:rPr>
        <w:t xml:space="preserve">; David Kaye, </w:t>
      </w:r>
      <w:hyperlink r:id="rId52" w:history="1">
        <w:r w:rsidRPr="00B5042E">
          <w:rPr>
            <w:rStyle w:val="FootnoteReference"/>
            <w:i/>
            <w:iCs/>
            <w:vertAlign w:val="baseline"/>
          </w:rPr>
          <w:t>Speech Police: The Global Struggle to Govern the Internet</w:t>
        </w:r>
      </w:hyperlink>
      <w:r w:rsidRPr="00BF618C">
        <w:rPr>
          <w:rStyle w:val="FootnoteReference"/>
          <w:vertAlign w:val="baseline"/>
        </w:rPr>
        <w:t xml:space="preserve"> (2019). </w:t>
      </w:r>
    </w:p>
  </w:footnote>
  <w:footnote w:id="68">
    <w:p w14:paraId="5837C234" w14:textId="291589E3" w:rsidR="001A4E44" w:rsidRPr="00BF618C" w:rsidRDefault="00BF618C" w:rsidP="00BF618C">
      <w:pPr>
        <w:pStyle w:val="FootnoteText"/>
        <w:spacing w:before="120" w:after="120" w:line="240" w:lineRule="auto"/>
        <w:rPr>
          <w:rStyle w:val="FootnoteReference"/>
          <w:vertAlign w:val="baseline"/>
        </w:rPr>
      </w:pPr>
      <w:r w:rsidRPr="002138E6">
        <w:rPr>
          <w:rStyle w:val="FootnoteReference"/>
          <w:lang w:val="fr-FR"/>
        </w:rPr>
        <w:tab/>
      </w:r>
      <w:r w:rsidR="001A4E44" w:rsidRPr="00BF618C">
        <w:rPr>
          <w:rStyle w:val="FootnoteReference"/>
        </w:rPr>
        <w:footnoteRef/>
      </w:r>
      <w:r w:rsidR="0088001A" w:rsidRPr="002138E6">
        <w:rPr>
          <w:rStyle w:val="FootnoteReference"/>
          <w:lang w:val="fr-FR"/>
        </w:rPr>
        <w:tab/>
      </w:r>
      <w:r w:rsidR="00B5042E">
        <w:rPr>
          <w:lang w:val="fr-FR"/>
        </w:rPr>
        <w:t>See</w:t>
      </w:r>
      <w:r w:rsidR="00716B36" w:rsidRPr="004604A1">
        <w:rPr>
          <w:lang w:val="fr-FR"/>
        </w:rPr>
        <w:t xml:space="preserve"> A/HRC/42/50</w:t>
      </w:r>
      <w:r w:rsidR="00B5042E">
        <w:rPr>
          <w:lang w:val="fr-FR"/>
        </w:rPr>
        <w:t>,</w:t>
      </w:r>
      <w:r w:rsidR="00716B36" w:rsidRPr="004604A1">
        <w:rPr>
          <w:lang w:val="fr-FR"/>
        </w:rPr>
        <w:t xml:space="preserve"> paras. </w:t>
      </w:r>
      <w:r w:rsidR="00716B36">
        <w:rPr>
          <w:lang w:val="fr-FR"/>
        </w:rPr>
        <w:t>70-75</w:t>
      </w:r>
    </w:p>
  </w:footnote>
  <w:footnote w:id="69">
    <w:p w14:paraId="797A771E" w14:textId="3F67E789" w:rsidR="00B5042E" w:rsidRPr="00250B4D" w:rsidRDefault="00B5042E" w:rsidP="00B5042E">
      <w:pPr>
        <w:pStyle w:val="FootnoteText"/>
        <w:spacing w:before="120" w:after="120" w:line="240" w:lineRule="auto"/>
        <w:rPr>
          <w:rStyle w:val="FootnoteReference"/>
          <w:vertAlign w:val="baseline"/>
        </w:rPr>
      </w:pPr>
      <w:r w:rsidRPr="00250B4D">
        <w:rPr>
          <w:rStyle w:val="FootnoteReference"/>
        </w:rPr>
        <w:tab/>
      </w:r>
      <w:r w:rsidRPr="00E55FF5">
        <w:rPr>
          <w:rStyle w:val="FootnoteReference"/>
        </w:rPr>
        <w:footnoteRef/>
      </w:r>
      <w:r w:rsidRPr="00250B4D">
        <w:rPr>
          <w:rStyle w:val="FootnoteReference"/>
        </w:rPr>
        <w:tab/>
      </w:r>
      <w:r w:rsidRPr="00250B4D">
        <w:rPr>
          <w:bCs/>
          <w:szCs w:val="18"/>
        </w:rPr>
        <w:t>A/HRC/32/38 para</w:t>
      </w:r>
      <w:r w:rsidR="00E55FF5" w:rsidRPr="00250B4D">
        <w:rPr>
          <w:bCs/>
          <w:szCs w:val="18"/>
        </w:rPr>
        <w:t>s</w:t>
      </w:r>
      <w:r w:rsidRPr="00250B4D">
        <w:rPr>
          <w:bCs/>
          <w:szCs w:val="18"/>
        </w:rPr>
        <w:t xml:space="preserve">. </w:t>
      </w:r>
      <w:r w:rsidR="00E55FF5" w:rsidRPr="00250B4D">
        <w:rPr>
          <w:bCs/>
          <w:szCs w:val="18"/>
        </w:rPr>
        <w:t xml:space="preserve">87 – </w:t>
      </w:r>
      <w:r w:rsidRPr="00250B4D">
        <w:rPr>
          <w:bCs/>
          <w:szCs w:val="18"/>
        </w:rPr>
        <w:t>88</w:t>
      </w:r>
      <w:r w:rsidRPr="00250B4D">
        <w:rPr>
          <w:rStyle w:val="FootnoteReference"/>
          <w:vertAlign w:val="baseline"/>
        </w:rPr>
        <w:t xml:space="preserve">. See also Business for Social Responsibility and World Economic Forum, </w:t>
      </w:r>
      <w:hyperlink r:id="rId53" w:history="1">
        <w:r w:rsidRPr="00250B4D">
          <w:rPr>
            <w:rStyle w:val="FootnoteReference"/>
            <w:i/>
            <w:iCs/>
            <w:vertAlign w:val="baseline"/>
          </w:rPr>
          <w:t>White Paper: Responsible Use of Technology</w:t>
        </w:r>
      </w:hyperlink>
      <w:r w:rsidRPr="00250B4D">
        <w:rPr>
          <w:rStyle w:val="FootnoteReference"/>
          <w:vertAlign w:val="baseline"/>
        </w:rPr>
        <w:t xml:space="preserve"> (August 2019).</w:t>
      </w:r>
    </w:p>
  </w:footnote>
  <w:footnote w:id="70">
    <w:p w14:paraId="6E2221F3" w14:textId="7CBD456F" w:rsidR="001A4E44" w:rsidRPr="00BF618C" w:rsidRDefault="0088001A" w:rsidP="00BF618C">
      <w:pPr>
        <w:pStyle w:val="FootnoteText"/>
        <w:spacing w:before="120" w:after="120" w:line="240" w:lineRule="auto"/>
        <w:rPr>
          <w:rStyle w:val="FootnoteReference"/>
          <w:vertAlign w:val="baseline"/>
        </w:rPr>
      </w:pPr>
      <w:r w:rsidRPr="00250B4D">
        <w:rPr>
          <w:rStyle w:val="FootnoteReference"/>
        </w:rPr>
        <w:tab/>
      </w:r>
      <w:r w:rsidR="001A4E44" w:rsidRPr="00BF618C">
        <w:rPr>
          <w:rStyle w:val="FootnoteReference"/>
        </w:rPr>
        <w:footnoteRef/>
      </w:r>
      <w:r w:rsidRPr="00BF618C">
        <w:rPr>
          <w:rStyle w:val="FootnoteReference"/>
        </w:rPr>
        <w:tab/>
      </w:r>
      <w:r w:rsidR="001A4E44" w:rsidRPr="000657ED">
        <w:rPr>
          <w:rStyle w:val="FootnoteReference"/>
          <w:vertAlign w:val="baseline"/>
        </w:rPr>
        <w:t xml:space="preserve">At the time of writing, Facebook had just released a revised statement of values indicating that it would “look to </w:t>
      </w:r>
      <w:r w:rsidR="00BF618C" w:rsidRPr="000657ED">
        <w:rPr>
          <w:rStyle w:val="FootnoteReference"/>
          <w:vertAlign w:val="baseline"/>
        </w:rPr>
        <w:tab/>
      </w:r>
      <w:r w:rsidR="001A4E44" w:rsidRPr="000657ED">
        <w:rPr>
          <w:rStyle w:val="FootnoteReference"/>
          <w:vertAlign w:val="baseline"/>
        </w:rPr>
        <w:t>international human rights standard</w:t>
      </w:r>
      <w:r w:rsidR="000657ED">
        <w:rPr>
          <w:rStyle w:val="FootnoteReference"/>
          <w:vertAlign w:val="baseline"/>
        </w:rPr>
        <w:t>s</w:t>
      </w:r>
      <w:r w:rsidR="001A4E44" w:rsidRPr="000657ED">
        <w:rPr>
          <w:rStyle w:val="FootnoteReference"/>
          <w:vertAlign w:val="baseline"/>
        </w:rPr>
        <w:t>”</w:t>
      </w:r>
      <w:r w:rsidR="000657ED">
        <w:rPr>
          <w:rStyle w:val="FootnoteReference"/>
          <w:vertAlign w:val="baseline"/>
        </w:rPr>
        <w:t xml:space="preserve"> to make certain judgments concerning community standards.</w:t>
      </w:r>
      <w:r w:rsidR="000657ED">
        <w:t xml:space="preserve"> See Facebook, </w:t>
      </w:r>
      <w:hyperlink r:id="rId54" w:history="1">
        <w:r w:rsidR="000657ED" w:rsidRPr="000657ED">
          <w:rPr>
            <w:rStyle w:val="Hyperlink"/>
            <w:i/>
            <w:iCs/>
          </w:rPr>
          <w:t>Updating the Values that Inform Our Community Standards</w:t>
        </w:r>
      </w:hyperlink>
      <w:r w:rsidR="000657ED">
        <w:t>, 12 September 2019.</w:t>
      </w:r>
    </w:p>
  </w:footnote>
  <w:footnote w:id="71">
    <w:p w14:paraId="19A78613" w14:textId="7EE5C94D" w:rsidR="001A4E44" w:rsidRPr="00AB236F" w:rsidRDefault="0088001A" w:rsidP="00AB236F">
      <w:pPr>
        <w:pStyle w:val="FootnoteText"/>
        <w:spacing w:before="120" w:after="120" w:line="240" w:lineRule="auto"/>
        <w:rPr>
          <w:rStyle w:val="FootnoteReference"/>
          <w:vertAlign w:val="baseline"/>
        </w:rPr>
      </w:pPr>
      <w:r w:rsidRPr="00BF618C">
        <w:rPr>
          <w:rStyle w:val="FootnoteReference"/>
          <w:szCs w:val="18"/>
        </w:rPr>
        <w:tab/>
      </w:r>
      <w:r w:rsidR="001A4E44" w:rsidRPr="00AB236F">
        <w:rPr>
          <w:rStyle w:val="FootnoteReference"/>
        </w:rPr>
        <w:footnoteRef/>
      </w:r>
      <w:r w:rsidRPr="00AB236F">
        <w:rPr>
          <w:rStyle w:val="FootnoteReference"/>
        </w:rPr>
        <w:tab/>
      </w:r>
      <w:hyperlink r:id="rId55" w:history="1">
        <w:r w:rsidR="001A4E44" w:rsidRPr="00DD0FA3">
          <w:rPr>
            <w:rStyle w:val="Hyperlink"/>
          </w:rPr>
          <w:t>UN Guiding Principles</w:t>
        </w:r>
        <w:r w:rsidR="00DD0FA3" w:rsidRPr="00DD0FA3">
          <w:rPr>
            <w:rStyle w:val="Hyperlink"/>
          </w:rPr>
          <w:t xml:space="preserve"> on Business and Human Rights</w:t>
        </w:r>
      </w:hyperlink>
      <w:r w:rsidR="00DD0FA3">
        <w:rPr>
          <w:rStyle w:val="FootnoteReference"/>
          <w:vertAlign w:val="baseline"/>
        </w:rPr>
        <w:t xml:space="preserve"> (2011)</w:t>
      </w:r>
      <w:r w:rsidR="001A4E44" w:rsidRPr="00AB236F">
        <w:rPr>
          <w:rStyle w:val="FootnoteReference"/>
          <w:vertAlign w:val="baseline"/>
        </w:rPr>
        <w:t xml:space="preserve"> no 12 with commentary, 13 and 15.</w:t>
      </w:r>
    </w:p>
  </w:footnote>
  <w:footnote w:id="72">
    <w:p w14:paraId="4ACF45D7" w14:textId="77777777" w:rsidR="001A4E44" w:rsidRPr="00AB236F" w:rsidRDefault="0088001A" w:rsidP="00AB236F">
      <w:pPr>
        <w:pStyle w:val="FootnoteText"/>
        <w:spacing w:before="120" w:after="120" w:line="240" w:lineRule="auto"/>
      </w:pPr>
      <w:r w:rsidRPr="00AB236F">
        <w:rPr>
          <w:rStyle w:val="FootnoteReference"/>
        </w:rPr>
        <w:tab/>
      </w:r>
      <w:r w:rsidR="001A4E44">
        <w:rPr>
          <w:rStyle w:val="FootnoteReference"/>
        </w:rPr>
        <w:footnoteRef/>
      </w:r>
      <w:r w:rsidRPr="00AB236F">
        <w:rPr>
          <w:rStyle w:val="FootnoteReference"/>
        </w:rPr>
        <w:tab/>
      </w:r>
      <w:r w:rsidR="001A4E44" w:rsidRPr="00AB236F">
        <w:rPr>
          <w:rStyle w:val="FootnoteReference"/>
          <w:vertAlign w:val="baseline"/>
        </w:rPr>
        <w:t xml:space="preserve">See Susan Benesch, </w:t>
      </w:r>
      <w:r w:rsidR="001A4E44" w:rsidRPr="003A6979">
        <w:rPr>
          <w:rStyle w:val="FootnoteReference"/>
          <w:i/>
          <w:iCs/>
          <w:vertAlign w:val="baseline"/>
        </w:rPr>
        <w:t>Proposals for Improved Regulation of Harmful Online Content</w:t>
      </w:r>
      <w:r w:rsidR="001A4E44" w:rsidRPr="00AB236F">
        <w:rPr>
          <w:rStyle w:val="FootnoteReference"/>
          <w:vertAlign w:val="baseline"/>
        </w:rPr>
        <w:t xml:space="preserve">, Paper for the </w:t>
      </w:r>
      <w:r w:rsidR="00BF618C" w:rsidRPr="00AB236F">
        <w:rPr>
          <w:rStyle w:val="FootnoteReference"/>
          <w:vertAlign w:val="baseline"/>
        </w:rPr>
        <w:tab/>
      </w:r>
      <w:r w:rsidR="001A4E44" w:rsidRPr="00AB236F">
        <w:rPr>
          <w:rStyle w:val="FootnoteReference"/>
          <w:vertAlign w:val="baseline"/>
        </w:rPr>
        <w:t>Israel Democracy Institute (2019).</w:t>
      </w:r>
    </w:p>
  </w:footnote>
  <w:footnote w:id="73">
    <w:p w14:paraId="670DB0B3" w14:textId="14C6F8D2" w:rsidR="00B5042E" w:rsidRDefault="00766D71">
      <w:pPr>
        <w:pStyle w:val="FootnoteText"/>
      </w:pPr>
      <w:r>
        <w:tab/>
      </w:r>
      <w:r w:rsidR="00B5042E">
        <w:rPr>
          <w:rStyle w:val="FootnoteReference"/>
        </w:rPr>
        <w:footnoteRef/>
      </w:r>
      <w:r>
        <w:tab/>
      </w:r>
      <w:r w:rsidR="00B5042E">
        <w:t xml:space="preserve">See generally Business for Social Responsibility, </w:t>
      </w:r>
      <w:hyperlink r:id="rId56" w:history="1">
        <w:r w:rsidR="00B5042E" w:rsidRPr="00B5042E">
          <w:rPr>
            <w:rStyle w:val="Hyperlink"/>
            <w:i/>
            <w:iCs/>
          </w:rPr>
          <w:t>Human Rights Impact Assessment: Facebook in Myanmar</w:t>
        </w:r>
      </w:hyperlink>
      <w:r w:rsidR="00B5042E">
        <w:t xml:space="preserve"> (2018).</w:t>
      </w:r>
    </w:p>
  </w:footnote>
  <w:footnote w:id="74">
    <w:p w14:paraId="69E31CA8" w14:textId="02A175B8" w:rsidR="0009309B" w:rsidRPr="00766D71" w:rsidRDefault="00766D71">
      <w:pPr>
        <w:pStyle w:val="FootnoteText"/>
        <w:rPr>
          <w:lang w:val="es-MX"/>
        </w:rPr>
      </w:pPr>
      <w:r w:rsidRPr="00740288">
        <w:rPr>
          <w:lang w:val="en-GB"/>
        </w:rPr>
        <w:tab/>
      </w:r>
      <w:r w:rsidR="0009309B">
        <w:rPr>
          <w:rStyle w:val="FootnoteReference"/>
        </w:rPr>
        <w:footnoteRef/>
      </w:r>
      <w:r>
        <w:rPr>
          <w:lang w:val="es-MX"/>
        </w:rPr>
        <w:tab/>
      </w:r>
      <w:r w:rsidR="003A6979" w:rsidRPr="00766D71">
        <w:rPr>
          <w:lang w:val="es-MX"/>
        </w:rPr>
        <w:t>A/73/348.</w:t>
      </w:r>
    </w:p>
  </w:footnote>
  <w:footnote w:id="75">
    <w:p w14:paraId="549C5772" w14:textId="4D2505B9" w:rsidR="00056E0A" w:rsidRPr="00766D71" w:rsidRDefault="00766D71">
      <w:pPr>
        <w:pStyle w:val="FootnoteText"/>
        <w:rPr>
          <w:lang w:val="es-MX"/>
        </w:rPr>
      </w:pPr>
      <w:r>
        <w:rPr>
          <w:lang w:val="es-MX"/>
        </w:rPr>
        <w:tab/>
      </w:r>
      <w:r w:rsidR="00056E0A" w:rsidRPr="00D46561">
        <w:rPr>
          <w:rStyle w:val="FootnoteReference"/>
        </w:rPr>
        <w:footnoteRef/>
      </w:r>
      <w:r w:rsidRPr="00D46561">
        <w:rPr>
          <w:lang w:val="es-MX"/>
        </w:rPr>
        <w:tab/>
      </w:r>
      <w:r w:rsidR="00056E0A" w:rsidRPr="00D46561">
        <w:rPr>
          <w:lang w:val="es-MX"/>
        </w:rPr>
        <w:t>A/HRC/38/35</w:t>
      </w:r>
      <w:r w:rsidR="00D46561" w:rsidRPr="00D46561">
        <w:rPr>
          <w:lang w:val="es-MX"/>
        </w:rPr>
        <w:t xml:space="preserve"> para. 26</w:t>
      </w:r>
      <w:r w:rsidR="00056E0A" w:rsidRPr="00D46561">
        <w:rPr>
          <w:lang w:val="es-MX"/>
        </w:rPr>
        <w:t>.</w:t>
      </w:r>
    </w:p>
  </w:footnote>
  <w:footnote w:id="76">
    <w:p w14:paraId="40DBF789" w14:textId="3EB45133" w:rsidR="00B5042E" w:rsidRPr="00766D71" w:rsidRDefault="00766D71">
      <w:pPr>
        <w:pStyle w:val="FootnoteText"/>
        <w:rPr>
          <w:lang w:val="es-MX"/>
        </w:rPr>
      </w:pPr>
      <w:r>
        <w:rPr>
          <w:lang w:val="es-MX"/>
        </w:rPr>
        <w:tab/>
      </w:r>
      <w:r w:rsidR="00B5042E" w:rsidRPr="00E55FF5">
        <w:rPr>
          <w:rStyle w:val="FootnoteReference"/>
        </w:rPr>
        <w:footnoteRef/>
      </w:r>
      <w:r w:rsidRPr="00E55FF5">
        <w:rPr>
          <w:lang w:val="es-MX"/>
        </w:rPr>
        <w:tab/>
      </w:r>
      <w:r w:rsidR="00E55FF5" w:rsidRPr="00E55FF5">
        <w:rPr>
          <w:lang w:val="es-MX"/>
        </w:rPr>
        <w:t xml:space="preserve">ARTICLE 19, </w:t>
      </w:r>
      <w:r w:rsidR="00E55FF5" w:rsidRPr="00BF01AE">
        <w:rPr>
          <w:lang w:val="es-MX"/>
        </w:rPr>
        <w:t>Camden</w:t>
      </w:r>
      <w:r w:rsidR="00E55FF5" w:rsidRPr="00E55FF5">
        <w:rPr>
          <w:lang w:val="es-MX"/>
        </w:rPr>
        <w:t xml:space="preserve"> </w:t>
      </w:r>
      <w:r w:rsidR="00B5042E" w:rsidRPr="00E55FF5">
        <w:rPr>
          <w:lang w:val="es-MX"/>
        </w:rPr>
        <w:t>Principle 12</w:t>
      </w:r>
      <w:r w:rsidR="00245487">
        <w:rPr>
          <w:lang w:val="es-MX"/>
        </w:rPr>
        <w:t>.</w:t>
      </w:r>
    </w:p>
  </w:footnote>
  <w:footnote w:id="77">
    <w:p w14:paraId="17BF1771" w14:textId="5694C3FB" w:rsidR="000526C6" w:rsidRPr="00250B4D" w:rsidRDefault="00766D71">
      <w:pPr>
        <w:pStyle w:val="FootnoteText"/>
        <w:rPr>
          <w:lang w:val="en-GB"/>
        </w:rPr>
      </w:pPr>
      <w:r>
        <w:rPr>
          <w:lang w:val="es-MX"/>
        </w:rPr>
        <w:tab/>
      </w:r>
      <w:r w:rsidR="000526C6">
        <w:rPr>
          <w:rStyle w:val="FootnoteReference"/>
        </w:rPr>
        <w:footnoteRef/>
      </w:r>
      <w:r w:rsidRPr="00740288">
        <w:rPr>
          <w:lang w:val="es-AR"/>
        </w:rPr>
        <w:tab/>
      </w:r>
      <w:r w:rsidR="000526C6" w:rsidRPr="00740288">
        <w:rPr>
          <w:lang w:val="es-AR"/>
        </w:rPr>
        <w:t xml:space="preserve">A/38/35, </w:t>
      </w:r>
      <w:r w:rsidR="000526C6" w:rsidRPr="00E55FF5">
        <w:rPr>
          <w:lang w:val="es-AR"/>
        </w:rPr>
        <w:t>para</w:t>
      </w:r>
      <w:r w:rsidR="0036222E">
        <w:rPr>
          <w:lang w:val="es-AR"/>
        </w:rPr>
        <w:t>.</w:t>
      </w:r>
      <w:r w:rsidR="000526C6" w:rsidRPr="00E55FF5">
        <w:rPr>
          <w:lang w:val="es-AR"/>
        </w:rPr>
        <w:t xml:space="preserve"> </w:t>
      </w:r>
      <w:r w:rsidR="00E55FF5" w:rsidRPr="00250B4D">
        <w:rPr>
          <w:lang w:val="en-GB"/>
        </w:rPr>
        <w:t>71</w:t>
      </w:r>
      <w:r w:rsidR="000526C6" w:rsidRPr="00250B4D">
        <w:rPr>
          <w:lang w:val="en-GB"/>
        </w:rPr>
        <w:t>.</w:t>
      </w:r>
    </w:p>
  </w:footnote>
  <w:footnote w:id="78">
    <w:p w14:paraId="6C17494E" w14:textId="77777777" w:rsidR="001A4E44" w:rsidRPr="00766D71" w:rsidRDefault="0088001A" w:rsidP="001A4E44">
      <w:pPr>
        <w:pStyle w:val="FootnoteText"/>
        <w:spacing w:before="120" w:after="120" w:line="240" w:lineRule="auto"/>
        <w:rPr>
          <w:lang w:val="en-GB"/>
        </w:rPr>
      </w:pPr>
      <w:r w:rsidRPr="00250B4D">
        <w:rPr>
          <w:lang w:val="en-GB"/>
        </w:rPr>
        <w:tab/>
      </w:r>
      <w:r w:rsidR="001A4E44">
        <w:rPr>
          <w:rStyle w:val="FootnoteReference"/>
        </w:rPr>
        <w:footnoteRef/>
      </w:r>
      <w:r w:rsidRPr="00766D71">
        <w:rPr>
          <w:lang w:val="en-GB"/>
        </w:rPr>
        <w:tab/>
      </w:r>
      <w:r w:rsidR="001A4E44" w:rsidRPr="00766D71">
        <w:rPr>
          <w:lang w:val="en-GB"/>
        </w:rPr>
        <w:t>A/73/348.</w:t>
      </w:r>
    </w:p>
  </w:footnote>
  <w:footnote w:id="79">
    <w:p w14:paraId="54641684" w14:textId="55B625D6" w:rsidR="001A4E44" w:rsidRPr="00766D71" w:rsidRDefault="0088001A" w:rsidP="001A4E44">
      <w:pPr>
        <w:pStyle w:val="FootnoteText"/>
        <w:spacing w:before="120" w:after="120" w:line="240" w:lineRule="auto"/>
        <w:rPr>
          <w:lang w:val="en-GB"/>
        </w:rPr>
      </w:pPr>
      <w:r w:rsidRPr="00766D71">
        <w:rPr>
          <w:lang w:val="en-GB"/>
        </w:rPr>
        <w:tab/>
      </w:r>
      <w:r w:rsidR="001A4E44">
        <w:rPr>
          <w:rStyle w:val="FootnoteReference"/>
        </w:rPr>
        <w:footnoteRef/>
      </w:r>
      <w:r w:rsidRPr="00766D71">
        <w:rPr>
          <w:lang w:val="en-GB"/>
        </w:rPr>
        <w:tab/>
      </w:r>
      <w:r w:rsidR="001A4E44" w:rsidRPr="00766D71">
        <w:rPr>
          <w:lang w:val="en-GB"/>
        </w:rPr>
        <w:t xml:space="preserve">Aswad, </w:t>
      </w:r>
      <w:r w:rsidR="00245487">
        <w:rPr>
          <w:i/>
          <w:iCs/>
          <w:lang w:val="en-GB"/>
        </w:rPr>
        <w:t>The Future of Freedom of Expression Online</w:t>
      </w:r>
      <w:r w:rsidR="006D2A88" w:rsidRPr="00766D71">
        <w:rPr>
          <w:lang w:val="en-GB"/>
        </w:rPr>
        <w:t>, at 47-52.</w:t>
      </w:r>
    </w:p>
  </w:footnote>
  <w:footnote w:id="80">
    <w:p w14:paraId="1EC0B66C" w14:textId="77777777" w:rsidR="001A4E44" w:rsidRPr="00766D71" w:rsidRDefault="0088001A" w:rsidP="001A4E44">
      <w:pPr>
        <w:pStyle w:val="FootnoteText"/>
        <w:spacing w:before="120" w:after="120" w:line="240" w:lineRule="auto"/>
        <w:rPr>
          <w:lang w:val="en-GB"/>
        </w:rPr>
      </w:pPr>
      <w:r w:rsidRPr="00766D71">
        <w:rPr>
          <w:lang w:val="en-GB"/>
        </w:rPr>
        <w:tab/>
      </w:r>
      <w:r w:rsidR="001A4E44">
        <w:rPr>
          <w:rStyle w:val="FootnoteReference"/>
        </w:rPr>
        <w:footnoteRef/>
      </w:r>
      <w:r w:rsidRPr="00766D71">
        <w:rPr>
          <w:lang w:val="en-GB"/>
        </w:rPr>
        <w:tab/>
      </w:r>
      <w:r w:rsidR="001A4E44" w:rsidRPr="00766D71">
        <w:rPr>
          <w:lang w:val="en-GB"/>
        </w:rPr>
        <w:t>Article 2, ICCPR; Article 6, ICERD.</w:t>
      </w:r>
    </w:p>
  </w:footnote>
  <w:footnote w:id="81">
    <w:p w14:paraId="6223195C" w14:textId="77777777" w:rsidR="001A4E44" w:rsidRPr="00766D71" w:rsidRDefault="0088001A" w:rsidP="001A4E44">
      <w:pPr>
        <w:pStyle w:val="FootnoteText"/>
        <w:spacing w:before="120" w:after="120" w:line="240" w:lineRule="auto"/>
        <w:rPr>
          <w:lang w:val="en-GB"/>
        </w:rPr>
      </w:pPr>
      <w:r w:rsidRPr="00766D71">
        <w:rPr>
          <w:lang w:val="en-GB"/>
        </w:rPr>
        <w:tab/>
      </w:r>
      <w:r w:rsidR="001A4E44">
        <w:rPr>
          <w:rStyle w:val="FootnoteReference"/>
        </w:rPr>
        <w:footnoteRef/>
      </w:r>
      <w:r w:rsidRPr="00766D71">
        <w:rPr>
          <w:lang w:val="en-GB"/>
        </w:rPr>
        <w:tab/>
      </w:r>
      <w:r w:rsidR="001A4E44" w:rsidRPr="00766D71">
        <w:rPr>
          <w:lang w:val="en-GB"/>
        </w:rPr>
        <w:t>A/HRC/38/35, para. 59.</w:t>
      </w:r>
    </w:p>
  </w:footnote>
  <w:footnote w:id="82">
    <w:p w14:paraId="7790CD3D" w14:textId="242F59A3" w:rsidR="001A4E44" w:rsidRPr="00250B4D" w:rsidRDefault="0088001A" w:rsidP="001A4E44">
      <w:pPr>
        <w:pStyle w:val="FootnoteText"/>
        <w:spacing w:before="120" w:after="120" w:line="240" w:lineRule="auto"/>
        <w:rPr>
          <w:lang w:val="es-MX"/>
        </w:rPr>
      </w:pPr>
      <w:r w:rsidRPr="00766D71">
        <w:rPr>
          <w:lang w:val="en-GB"/>
        </w:rPr>
        <w:tab/>
      </w:r>
      <w:r w:rsidR="001A4E44">
        <w:rPr>
          <w:rStyle w:val="FootnoteReference"/>
        </w:rPr>
        <w:footnoteRef/>
      </w:r>
      <w:r w:rsidRPr="00766D71">
        <w:rPr>
          <w:lang w:val="en-GB"/>
        </w:rPr>
        <w:tab/>
      </w:r>
      <w:r w:rsidR="001A4E44" w:rsidRPr="00766D71">
        <w:rPr>
          <w:lang w:val="en-GB"/>
        </w:rPr>
        <w:t>Rabat Plan of Action, paras</w:t>
      </w:r>
      <w:r w:rsidR="0036222E">
        <w:rPr>
          <w:lang w:val="en-GB"/>
        </w:rPr>
        <w:t>.</w:t>
      </w:r>
      <w:r w:rsidR="001A4E44" w:rsidRPr="00766D71">
        <w:rPr>
          <w:lang w:val="en-GB"/>
        </w:rPr>
        <w:t xml:space="preserve"> </w:t>
      </w:r>
      <w:r w:rsidR="001A4E44" w:rsidRPr="00250B4D">
        <w:rPr>
          <w:lang w:val="es-MX"/>
        </w:rPr>
        <w:t>33-34.</w:t>
      </w:r>
    </w:p>
  </w:footnote>
  <w:footnote w:id="83">
    <w:p w14:paraId="091E8FCE" w14:textId="478E99CE" w:rsidR="001A4E44" w:rsidRPr="000B5A35" w:rsidRDefault="0088001A" w:rsidP="001A4E44">
      <w:pPr>
        <w:pStyle w:val="FootnoteText"/>
        <w:spacing w:before="120" w:after="120" w:line="240" w:lineRule="auto"/>
        <w:rPr>
          <w:lang w:val="es-MX"/>
        </w:rPr>
      </w:pPr>
      <w:r w:rsidRPr="00250B4D">
        <w:rPr>
          <w:lang w:val="es-MX"/>
        </w:rPr>
        <w:tab/>
      </w:r>
      <w:r w:rsidR="001A4E44">
        <w:rPr>
          <w:rStyle w:val="FootnoteReference"/>
        </w:rPr>
        <w:footnoteRef/>
      </w:r>
      <w:r w:rsidRPr="00740288">
        <w:rPr>
          <w:lang w:val="es-AR"/>
        </w:rPr>
        <w:tab/>
      </w:r>
      <w:hyperlink r:id="rId57" w:history="1">
        <w:r w:rsidR="001A4E44" w:rsidRPr="0088001A">
          <w:rPr>
            <w:rStyle w:val="Hyperlink"/>
            <w:lang w:val="es-MX"/>
          </w:rPr>
          <w:t>A/HRC/RES/16/18</w:t>
        </w:r>
      </w:hyperlink>
      <w:r w:rsidR="001A4E44" w:rsidRPr="0088001A">
        <w:rPr>
          <w:lang w:val="es-MX"/>
        </w:rPr>
        <w:t>, paras</w:t>
      </w:r>
      <w:r w:rsidR="0036222E">
        <w:rPr>
          <w:lang w:val="es-MX"/>
        </w:rPr>
        <w:t>.</w:t>
      </w:r>
      <w:r w:rsidR="001A4E44" w:rsidRPr="0088001A">
        <w:rPr>
          <w:lang w:val="es-MX"/>
        </w:rPr>
        <w:t xml:space="preserve"> </w:t>
      </w:r>
      <w:r w:rsidR="001A4E44" w:rsidRPr="000B5A35">
        <w:rPr>
          <w:lang w:val="es-MX"/>
        </w:rPr>
        <w:t>5-6.</w:t>
      </w:r>
    </w:p>
  </w:footnote>
  <w:footnote w:id="84">
    <w:p w14:paraId="747F8203" w14:textId="44AF5AA3" w:rsidR="001A4E44" w:rsidRPr="000B5A35" w:rsidRDefault="0088001A" w:rsidP="001A4E44">
      <w:pPr>
        <w:pStyle w:val="FootnoteText"/>
        <w:spacing w:before="120" w:after="120" w:line="240" w:lineRule="auto"/>
        <w:rPr>
          <w:lang w:val="es-MX"/>
        </w:rPr>
      </w:pPr>
      <w:r>
        <w:rPr>
          <w:lang w:val="es-MX"/>
        </w:rPr>
        <w:tab/>
      </w:r>
      <w:r w:rsidR="001A4E44">
        <w:rPr>
          <w:rStyle w:val="FootnoteReference"/>
        </w:rPr>
        <w:footnoteRef/>
      </w:r>
      <w:r>
        <w:rPr>
          <w:lang w:val="es-MX"/>
        </w:rPr>
        <w:tab/>
      </w:r>
      <w:r w:rsidR="001A4E44" w:rsidRPr="000B5A35">
        <w:rPr>
          <w:lang w:val="es-MX"/>
        </w:rPr>
        <w:t>A/67/357, para</w:t>
      </w:r>
      <w:r w:rsidR="0036222E">
        <w:rPr>
          <w:lang w:val="es-MX"/>
        </w:rPr>
        <w:t>.</w:t>
      </w:r>
      <w:r w:rsidR="001A4E44" w:rsidRPr="000B5A35">
        <w:rPr>
          <w:lang w:val="es-MX"/>
        </w:rPr>
        <w:t xml:space="preserve"> 48.</w:t>
      </w:r>
    </w:p>
  </w:footnote>
  <w:footnote w:id="85">
    <w:p w14:paraId="5AABA56C" w14:textId="16350126" w:rsidR="001A4E44" w:rsidRPr="0088001A" w:rsidRDefault="0088001A" w:rsidP="001A4E44">
      <w:pPr>
        <w:pStyle w:val="FootnoteText"/>
        <w:spacing w:before="120" w:after="120" w:line="240" w:lineRule="auto"/>
        <w:rPr>
          <w:lang w:val="es-MX"/>
        </w:rPr>
      </w:pPr>
      <w:r>
        <w:rPr>
          <w:lang w:val="es-MX"/>
        </w:rPr>
        <w:tab/>
      </w:r>
      <w:r w:rsidR="001A4E44">
        <w:rPr>
          <w:rStyle w:val="FootnoteReference"/>
        </w:rPr>
        <w:footnoteRef/>
      </w:r>
      <w:r>
        <w:rPr>
          <w:lang w:val="es-MX"/>
        </w:rPr>
        <w:tab/>
      </w:r>
      <w:r w:rsidR="001A4E44" w:rsidRPr="0088001A">
        <w:rPr>
          <w:lang w:val="es-MX"/>
        </w:rPr>
        <w:t>Id., paras</w:t>
      </w:r>
      <w:r w:rsidR="0036222E">
        <w:rPr>
          <w:lang w:val="es-MX"/>
        </w:rPr>
        <w:t>.</w:t>
      </w:r>
      <w:r w:rsidR="001A4E44" w:rsidRPr="0088001A">
        <w:rPr>
          <w:lang w:val="es-MX"/>
        </w:rPr>
        <w:t xml:space="preserve"> 56 – 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2322" w14:textId="77777777" w:rsidR="001A4E44" w:rsidRPr="009D108A" w:rsidRDefault="001A4E44">
    <w:pPr>
      <w:pStyle w:val="Header"/>
    </w:pPr>
    <w:r>
      <w:t>A/74/48050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64C09" w14:textId="77777777" w:rsidR="001A4E44" w:rsidRPr="009D108A" w:rsidRDefault="001A4E44" w:rsidP="009D108A">
    <w:pPr>
      <w:pStyle w:val="Header"/>
      <w:jc w:val="right"/>
    </w:pPr>
    <w:r>
      <w:t>A/74/48050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7BE"/>
    <w:multiLevelType w:val="hybridMultilevel"/>
    <w:tmpl w:val="1A627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2B720D"/>
    <w:multiLevelType w:val="hybridMultilevel"/>
    <w:tmpl w:val="92EE4626"/>
    <w:lvl w:ilvl="0" w:tplc="B34E4734">
      <w:start w:val="1"/>
      <w:numFmt w:val="lowerLetter"/>
      <w:lvlText w:val="%1)"/>
      <w:lvlJc w:val="left"/>
      <w:pPr>
        <w:ind w:left="1854" w:hanging="360"/>
      </w:pPr>
      <w:rPr>
        <w:rFonts w:hint="default"/>
      </w:rPr>
    </w:lvl>
    <w:lvl w:ilvl="1" w:tplc="77046C5C">
      <w:numFmt w:val="bullet"/>
      <w:lvlText w:val="-"/>
      <w:lvlJc w:val="left"/>
      <w:pPr>
        <w:ind w:left="2574" w:hanging="360"/>
      </w:pPr>
      <w:rPr>
        <w:rFonts w:ascii="Times New Roman" w:eastAsia="MS Mincho" w:hAnsi="Times New Roman" w:cs="Times New Roman"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A1C019A"/>
    <w:multiLevelType w:val="hybridMultilevel"/>
    <w:tmpl w:val="E4BA359E"/>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F1A0852"/>
    <w:multiLevelType w:val="hybridMultilevel"/>
    <w:tmpl w:val="D102D6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7F4008"/>
    <w:multiLevelType w:val="hybridMultilevel"/>
    <w:tmpl w:val="5D0647F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nsid w:val="12FD175C"/>
    <w:multiLevelType w:val="hybridMultilevel"/>
    <w:tmpl w:val="9F6ECAC2"/>
    <w:lvl w:ilvl="0" w:tplc="08090017">
      <w:start w:val="1"/>
      <w:numFmt w:val="lowerLetter"/>
      <w:lvlText w:val="%1)"/>
      <w:lvlJc w:val="lef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144A2112"/>
    <w:multiLevelType w:val="hybridMultilevel"/>
    <w:tmpl w:val="D2745A8A"/>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8">
    <w:nsid w:val="18047E8A"/>
    <w:multiLevelType w:val="hybridMultilevel"/>
    <w:tmpl w:val="B122FC8E"/>
    <w:lvl w:ilvl="0" w:tplc="E7F07F76">
      <w:start w:val="1"/>
      <w:numFmt w:val="lowerLetter"/>
      <w:lvlText w:val="%1)"/>
      <w:lvlJc w:val="left"/>
      <w:pPr>
        <w:ind w:left="2421"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251C5C2E"/>
    <w:multiLevelType w:val="hybridMultilevel"/>
    <w:tmpl w:val="10C0123A"/>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nsid w:val="26374FBF"/>
    <w:multiLevelType w:val="hybridMultilevel"/>
    <w:tmpl w:val="394806F4"/>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2CAA2BB0"/>
    <w:multiLevelType w:val="hybridMultilevel"/>
    <w:tmpl w:val="62E67DBC"/>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302B211F"/>
    <w:multiLevelType w:val="hybridMultilevel"/>
    <w:tmpl w:val="D7906574"/>
    <w:lvl w:ilvl="0" w:tplc="C1A4237C">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36D26288"/>
    <w:multiLevelType w:val="hybridMultilevel"/>
    <w:tmpl w:val="04C0B5E6"/>
    <w:lvl w:ilvl="0" w:tplc="C1A4237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3D4C45FA"/>
    <w:multiLevelType w:val="hybridMultilevel"/>
    <w:tmpl w:val="A1748666"/>
    <w:lvl w:ilvl="0" w:tplc="E7F07F7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4812299D"/>
    <w:multiLevelType w:val="hybridMultilevel"/>
    <w:tmpl w:val="447EE236"/>
    <w:lvl w:ilvl="0" w:tplc="C1A4237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nsid w:val="4971486A"/>
    <w:multiLevelType w:val="hybridMultilevel"/>
    <w:tmpl w:val="0584F5D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524579F6"/>
    <w:multiLevelType w:val="hybridMultilevel"/>
    <w:tmpl w:val="B76AFEF8"/>
    <w:lvl w:ilvl="0" w:tplc="C1A4237C">
      <w:start w:val="1"/>
      <w:numFmt w:val="lowerLetter"/>
      <w:lvlText w:val="(%1)"/>
      <w:lvlJc w:val="left"/>
      <w:pPr>
        <w:ind w:left="2574" w:hanging="360"/>
      </w:pPr>
      <w:rPr>
        <w:rFonts w:hint="default"/>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18">
    <w:nsid w:val="5DC9246B"/>
    <w:multiLevelType w:val="hybridMultilevel"/>
    <w:tmpl w:val="4DFAE3EE"/>
    <w:lvl w:ilvl="0" w:tplc="04090003">
      <w:start w:val="1"/>
      <w:numFmt w:val="bullet"/>
      <w:lvlText w:val="o"/>
      <w:lvlJc w:val="left"/>
      <w:pPr>
        <w:ind w:left="1854" w:hanging="360"/>
      </w:pPr>
      <w:rPr>
        <w:rFonts w:ascii="Courier New" w:hAnsi="Courier New" w:cs="Courier New"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5E4C5F13"/>
    <w:multiLevelType w:val="hybridMultilevel"/>
    <w:tmpl w:val="28628B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A2401D"/>
    <w:multiLevelType w:val="hybridMultilevel"/>
    <w:tmpl w:val="C1BCF4D4"/>
    <w:lvl w:ilvl="0" w:tplc="08090017">
      <w:start w:val="1"/>
      <w:numFmt w:val="lowerLetter"/>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nsid w:val="679621A1"/>
    <w:multiLevelType w:val="hybridMultilevel"/>
    <w:tmpl w:val="AF5605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8F707E5"/>
    <w:multiLevelType w:val="hybridMultilevel"/>
    <w:tmpl w:val="15FE3468"/>
    <w:lvl w:ilvl="0" w:tplc="C1A4237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nsid w:val="6C4261CE"/>
    <w:multiLevelType w:val="hybridMultilevel"/>
    <w:tmpl w:val="C090E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C400966"/>
    <w:multiLevelType w:val="multilevel"/>
    <w:tmpl w:val="84A2E2E8"/>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1"/>
  </w:num>
  <w:num w:numId="2">
    <w:abstractNumId w:val="22"/>
  </w:num>
  <w:num w:numId="3">
    <w:abstractNumId w:val="25"/>
    <w:lvlOverride w:ilvl="0">
      <w:lvl w:ilvl="0">
        <w:start w:val="1"/>
        <w:numFmt w:val="decimal"/>
        <w:lvlText w:val="%1."/>
        <w:lvlJc w:val="left"/>
        <w:rPr>
          <w:b w:val="0"/>
          <w:bCs w:val="0"/>
          <w:position w:val="0"/>
          <w:rtl w:val="0"/>
        </w:rPr>
      </w:lvl>
    </w:lvlOverride>
  </w:num>
  <w:num w:numId="4">
    <w:abstractNumId w:val="21"/>
  </w:num>
  <w:num w:numId="5">
    <w:abstractNumId w:val="20"/>
  </w:num>
  <w:num w:numId="6">
    <w:abstractNumId w:val="10"/>
  </w:num>
  <w:num w:numId="7">
    <w:abstractNumId w:val="16"/>
  </w:num>
  <w:num w:numId="8">
    <w:abstractNumId w:val="2"/>
  </w:num>
  <w:num w:numId="9">
    <w:abstractNumId w:val="15"/>
  </w:num>
  <w:num w:numId="10">
    <w:abstractNumId w:val="5"/>
  </w:num>
  <w:num w:numId="11">
    <w:abstractNumId w:val="18"/>
  </w:num>
  <w:num w:numId="12">
    <w:abstractNumId w:val="6"/>
  </w:num>
  <w:num w:numId="13">
    <w:abstractNumId w:val="7"/>
  </w:num>
  <w:num w:numId="14">
    <w:abstractNumId w:val="4"/>
  </w:num>
  <w:num w:numId="15">
    <w:abstractNumId w:val="0"/>
  </w:num>
  <w:num w:numId="16">
    <w:abstractNumId w:val="19"/>
  </w:num>
  <w:num w:numId="17">
    <w:abstractNumId w:val="24"/>
  </w:num>
  <w:num w:numId="18">
    <w:abstractNumId w:val="14"/>
  </w:num>
  <w:num w:numId="19">
    <w:abstractNumId w:val="8"/>
  </w:num>
  <w:num w:numId="20">
    <w:abstractNumId w:val="12"/>
  </w:num>
  <w:num w:numId="21">
    <w:abstractNumId w:val="9"/>
  </w:num>
  <w:num w:numId="22">
    <w:abstractNumId w:val="3"/>
  </w:num>
  <w:num w:numId="23">
    <w:abstractNumId w:val="25"/>
  </w:num>
  <w:num w:numId="24">
    <w:abstractNumId w:val="11"/>
  </w:num>
  <w:num w:numId="25">
    <w:abstractNumId w:val="23"/>
  </w:num>
  <w:num w:numId="26">
    <w:abstractNumId w:val="13"/>
  </w:num>
  <w:num w:numId="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0" w:nlCheck="1" w:checkStyle="1"/>
  <w:activeWritingStyle w:appName="MSWord" w:lang="en-US" w:vendorID="64" w:dllVersion="0" w:nlCheck="1" w:checkStyle="1"/>
  <w:activeWritingStyle w:appName="MSWord" w:lang="fr-CH" w:vendorID="64" w:dllVersion="0" w:nlCheck="1" w:checkStyle="1"/>
  <w:activeWritingStyle w:appName="MSWord" w:lang="es-ES_tradnl" w:vendorID="64" w:dllVersion="0" w:nlCheck="1" w:checkStyle="1"/>
  <w:activeWritingStyle w:appName="MSWord" w:lang="es-AR" w:vendorID="64" w:dllVersion="0" w:nlCheck="1" w:checkStyle="1"/>
  <w:activeWritingStyle w:appName="MSWord" w:lang="es-ES" w:vendorID="64" w:dllVersion="0" w:nlCheck="1" w:checkStyle="1"/>
  <w:activeWritingStyle w:appName="MSWord" w:lang="de-DE" w:vendorID="64" w:dllVersion="0"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s-MX" w:vendorID="64" w:dllVersion="6" w:nlCheck="1" w:checkStyle="0"/>
  <w:activeWritingStyle w:appName="MSWord" w:lang="en-AU" w:vendorID="64" w:dllVersion="6" w:nlCheck="1" w:checkStyle="1"/>
  <w:activeWritingStyle w:appName="MSWord" w:lang="en-NZ" w:vendorID="64" w:dllVersion="6" w:nlCheck="1" w:checkStyle="1"/>
  <w:activeWritingStyle w:appName="MSWord" w:lang="es-A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0"/>
  <w:activeWritingStyle w:appName="MSWord" w:lang="es-AR"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MwNjADUqaWlqYGhko6SsGpxcWZ+XkgBYa1AI5jgpMsAAAA"/>
  </w:docVars>
  <w:rsids>
    <w:rsidRoot w:val="0099401A"/>
    <w:rsid w:val="00000807"/>
    <w:rsid w:val="00000A05"/>
    <w:rsid w:val="00001050"/>
    <w:rsid w:val="000012B4"/>
    <w:rsid w:val="00002274"/>
    <w:rsid w:val="000024B7"/>
    <w:rsid w:val="0000251D"/>
    <w:rsid w:val="00002691"/>
    <w:rsid w:val="000028C5"/>
    <w:rsid w:val="000028FA"/>
    <w:rsid w:val="00002BFF"/>
    <w:rsid w:val="000031A1"/>
    <w:rsid w:val="000039A2"/>
    <w:rsid w:val="00003C80"/>
    <w:rsid w:val="00004114"/>
    <w:rsid w:val="00004727"/>
    <w:rsid w:val="0000489D"/>
    <w:rsid w:val="00004B37"/>
    <w:rsid w:val="00004C59"/>
    <w:rsid w:val="00004CD4"/>
    <w:rsid w:val="00005470"/>
    <w:rsid w:val="0000555F"/>
    <w:rsid w:val="00005E06"/>
    <w:rsid w:val="00005E6A"/>
    <w:rsid w:val="000062F8"/>
    <w:rsid w:val="000069F3"/>
    <w:rsid w:val="00006EC1"/>
    <w:rsid w:val="00007802"/>
    <w:rsid w:val="00007E6F"/>
    <w:rsid w:val="00007F7F"/>
    <w:rsid w:val="00007FFE"/>
    <w:rsid w:val="000101B8"/>
    <w:rsid w:val="00010EA3"/>
    <w:rsid w:val="00011A52"/>
    <w:rsid w:val="00012F59"/>
    <w:rsid w:val="000131C1"/>
    <w:rsid w:val="00013BD4"/>
    <w:rsid w:val="00014034"/>
    <w:rsid w:val="00014336"/>
    <w:rsid w:val="00014A8E"/>
    <w:rsid w:val="000151D4"/>
    <w:rsid w:val="000152FA"/>
    <w:rsid w:val="000153AD"/>
    <w:rsid w:val="000158E3"/>
    <w:rsid w:val="00015983"/>
    <w:rsid w:val="00015A03"/>
    <w:rsid w:val="000171F5"/>
    <w:rsid w:val="0001779D"/>
    <w:rsid w:val="00017862"/>
    <w:rsid w:val="0002105E"/>
    <w:rsid w:val="00021113"/>
    <w:rsid w:val="000213EC"/>
    <w:rsid w:val="000214E4"/>
    <w:rsid w:val="0002154C"/>
    <w:rsid w:val="000219F6"/>
    <w:rsid w:val="00022230"/>
    <w:rsid w:val="00022868"/>
    <w:rsid w:val="00022944"/>
    <w:rsid w:val="00022AA6"/>
    <w:rsid w:val="00022DB5"/>
    <w:rsid w:val="0002308D"/>
    <w:rsid w:val="00023A51"/>
    <w:rsid w:val="00023E73"/>
    <w:rsid w:val="00024337"/>
    <w:rsid w:val="00024872"/>
    <w:rsid w:val="00024C8D"/>
    <w:rsid w:val="00024EBB"/>
    <w:rsid w:val="000254B6"/>
    <w:rsid w:val="00025686"/>
    <w:rsid w:val="0002636C"/>
    <w:rsid w:val="00027AA7"/>
    <w:rsid w:val="00027EAE"/>
    <w:rsid w:val="00027ED8"/>
    <w:rsid w:val="00030748"/>
    <w:rsid w:val="000312B1"/>
    <w:rsid w:val="000315A6"/>
    <w:rsid w:val="00031B0F"/>
    <w:rsid w:val="00031B7C"/>
    <w:rsid w:val="00031EDF"/>
    <w:rsid w:val="00032D1C"/>
    <w:rsid w:val="00032DBF"/>
    <w:rsid w:val="00033C73"/>
    <w:rsid w:val="00033D0F"/>
    <w:rsid w:val="00034188"/>
    <w:rsid w:val="00034821"/>
    <w:rsid w:val="0003484D"/>
    <w:rsid w:val="00034907"/>
    <w:rsid w:val="00034F4F"/>
    <w:rsid w:val="0003604E"/>
    <w:rsid w:val="000361D7"/>
    <w:rsid w:val="000362B3"/>
    <w:rsid w:val="00037451"/>
    <w:rsid w:val="000403D1"/>
    <w:rsid w:val="000405C7"/>
    <w:rsid w:val="00040ECF"/>
    <w:rsid w:val="000413FF"/>
    <w:rsid w:val="0004181F"/>
    <w:rsid w:val="000419B5"/>
    <w:rsid w:val="00041B66"/>
    <w:rsid w:val="00041BA6"/>
    <w:rsid w:val="000421E3"/>
    <w:rsid w:val="0004221F"/>
    <w:rsid w:val="000431CF"/>
    <w:rsid w:val="000435B3"/>
    <w:rsid w:val="00043674"/>
    <w:rsid w:val="00043A1F"/>
    <w:rsid w:val="000445E8"/>
    <w:rsid w:val="000449AA"/>
    <w:rsid w:val="00044A34"/>
    <w:rsid w:val="00044F2A"/>
    <w:rsid w:val="0004566C"/>
    <w:rsid w:val="00046132"/>
    <w:rsid w:val="0004684E"/>
    <w:rsid w:val="00046F09"/>
    <w:rsid w:val="0004770E"/>
    <w:rsid w:val="00050001"/>
    <w:rsid w:val="00050075"/>
    <w:rsid w:val="00050905"/>
    <w:rsid w:val="00050B37"/>
    <w:rsid w:val="00050F6B"/>
    <w:rsid w:val="000512CC"/>
    <w:rsid w:val="00051B74"/>
    <w:rsid w:val="000526C6"/>
    <w:rsid w:val="00052984"/>
    <w:rsid w:val="0005299D"/>
    <w:rsid w:val="00052E4C"/>
    <w:rsid w:val="00053273"/>
    <w:rsid w:val="00053B11"/>
    <w:rsid w:val="00053BA6"/>
    <w:rsid w:val="0005421C"/>
    <w:rsid w:val="000546C3"/>
    <w:rsid w:val="0005480F"/>
    <w:rsid w:val="00054CDB"/>
    <w:rsid w:val="00054ED7"/>
    <w:rsid w:val="0005511A"/>
    <w:rsid w:val="000551ED"/>
    <w:rsid w:val="00055750"/>
    <w:rsid w:val="00055E14"/>
    <w:rsid w:val="00056D13"/>
    <w:rsid w:val="00056D64"/>
    <w:rsid w:val="00056E0A"/>
    <w:rsid w:val="00056FCC"/>
    <w:rsid w:val="00056FFE"/>
    <w:rsid w:val="00057E26"/>
    <w:rsid w:val="00060025"/>
    <w:rsid w:val="0006075B"/>
    <w:rsid w:val="0006099A"/>
    <w:rsid w:val="000611D1"/>
    <w:rsid w:val="00061477"/>
    <w:rsid w:val="00062026"/>
    <w:rsid w:val="00063291"/>
    <w:rsid w:val="00063952"/>
    <w:rsid w:val="00063B05"/>
    <w:rsid w:val="00063B5B"/>
    <w:rsid w:val="000642B0"/>
    <w:rsid w:val="00064B03"/>
    <w:rsid w:val="00064D24"/>
    <w:rsid w:val="000657ED"/>
    <w:rsid w:val="000657F3"/>
    <w:rsid w:val="000659D3"/>
    <w:rsid w:val="00065A1D"/>
    <w:rsid w:val="00066895"/>
    <w:rsid w:val="00066D90"/>
    <w:rsid w:val="00067A97"/>
    <w:rsid w:val="00067C80"/>
    <w:rsid w:val="00067FF5"/>
    <w:rsid w:val="00070450"/>
    <w:rsid w:val="000719BC"/>
    <w:rsid w:val="00071F32"/>
    <w:rsid w:val="00072032"/>
    <w:rsid w:val="00072C8C"/>
    <w:rsid w:val="00073449"/>
    <w:rsid w:val="000738C3"/>
    <w:rsid w:val="00073A82"/>
    <w:rsid w:val="00073E19"/>
    <w:rsid w:val="00073E70"/>
    <w:rsid w:val="000740BB"/>
    <w:rsid w:val="00074A40"/>
    <w:rsid w:val="00074C19"/>
    <w:rsid w:val="00074CA9"/>
    <w:rsid w:val="00074DDA"/>
    <w:rsid w:val="000762C8"/>
    <w:rsid w:val="000765B8"/>
    <w:rsid w:val="00077795"/>
    <w:rsid w:val="00077B5C"/>
    <w:rsid w:val="00077C80"/>
    <w:rsid w:val="00077DA0"/>
    <w:rsid w:val="00077EB1"/>
    <w:rsid w:val="00077F91"/>
    <w:rsid w:val="00080CE4"/>
    <w:rsid w:val="00080DC6"/>
    <w:rsid w:val="00080EE0"/>
    <w:rsid w:val="00081182"/>
    <w:rsid w:val="00081F16"/>
    <w:rsid w:val="0008205E"/>
    <w:rsid w:val="00082D07"/>
    <w:rsid w:val="00083193"/>
    <w:rsid w:val="00083DC4"/>
    <w:rsid w:val="00083F36"/>
    <w:rsid w:val="0008459C"/>
    <w:rsid w:val="00084874"/>
    <w:rsid w:val="00084DB7"/>
    <w:rsid w:val="000850A6"/>
    <w:rsid w:val="000857CE"/>
    <w:rsid w:val="00085FC8"/>
    <w:rsid w:val="0008651D"/>
    <w:rsid w:val="00086B1E"/>
    <w:rsid w:val="00086BD2"/>
    <w:rsid w:val="0008708A"/>
    <w:rsid w:val="0008767F"/>
    <w:rsid w:val="000876EB"/>
    <w:rsid w:val="0008778A"/>
    <w:rsid w:val="000877DF"/>
    <w:rsid w:val="00087B5A"/>
    <w:rsid w:val="00090058"/>
    <w:rsid w:val="000910B6"/>
    <w:rsid w:val="00091419"/>
    <w:rsid w:val="00091634"/>
    <w:rsid w:val="00091DD6"/>
    <w:rsid w:val="0009283C"/>
    <w:rsid w:val="00092FE4"/>
    <w:rsid w:val="0009309B"/>
    <w:rsid w:val="000931C0"/>
    <w:rsid w:val="00093461"/>
    <w:rsid w:val="000943E8"/>
    <w:rsid w:val="000944CF"/>
    <w:rsid w:val="00094A99"/>
    <w:rsid w:val="0009551C"/>
    <w:rsid w:val="00096CE2"/>
    <w:rsid w:val="000973CE"/>
    <w:rsid w:val="0009779A"/>
    <w:rsid w:val="000978DD"/>
    <w:rsid w:val="00097C86"/>
    <w:rsid w:val="00097D26"/>
    <w:rsid w:val="00097DB3"/>
    <w:rsid w:val="000A0312"/>
    <w:rsid w:val="000A12DB"/>
    <w:rsid w:val="000A1828"/>
    <w:rsid w:val="000A203E"/>
    <w:rsid w:val="000A25D8"/>
    <w:rsid w:val="000A273C"/>
    <w:rsid w:val="000A2A3B"/>
    <w:rsid w:val="000A3575"/>
    <w:rsid w:val="000A35BF"/>
    <w:rsid w:val="000A361D"/>
    <w:rsid w:val="000A3673"/>
    <w:rsid w:val="000A3944"/>
    <w:rsid w:val="000A3CF0"/>
    <w:rsid w:val="000A47A9"/>
    <w:rsid w:val="000A497E"/>
    <w:rsid w:val="000A5342"/>
    <w:rsid w:val="000A551C"/>
    <w:rsid w:val="000A55DA"/>
    <w:rsid w:val="000A5A5F"/>
    <w:rsid w:val="000A5DAC"/>
    <w:rsid w:val="000A63C3"/>
    <w:rsid w:val="000A65DC"/>
    <w:rsid w:val="000A6C8B"/>
    <w:rsid w:val="000A753A"/>
    <w:rsid w:val="000A75A9"/>
    <w:rsid w:val="000A7BF5"/>
    <w:rsid w:val="000A7F85"/>
    <w:rsid w:val="000B100A"/>
    <w:rsid w:val="000B11C0"/>
    <w:rsid w:val="000B155E"/>
    <w:rsid w:val="000B1758"/>
    <w:rsid w:val="000B175B"/>
    <w:rsid w:val="000B18C0"/>
    <w:rsid w:val="000B1979"/>
    <w:rsid w:val="000B1C08"/>
    <w:rsid w:val="000B20A3"/>
    <w:rsid w:val="000B2BB7"/>
    <w:rsid w:val="000B2F2C"/>
    <w:rsid w:val="000B3697"/>
    <w:rsid w:val="000B38CE"/>
    <w:rsid w:val="000B3A0F"/>
    <w:rsid w:val="000B47BD"/>
    <w:rsid w:val="000B4A3B"/>
    <w:rsid w:val="000B4AB7"/>
    <w:rsid w:val="000B4DFC"/>
    <w:rsid w:val="000B554A"/>
    <w:rsid w:val="000B5F11"/>
    <w:rsid w:val="000B5F58"/>
    <w:rsid w:val="000B6983"/>
    <w:rsid w:val="000B6A1A"/>
    <w:rsid w:val="000B6A56"/>
    <w:rsid w:val="000B6FC4"/>
    <w:rsid w:val="000B7326"/>
    <w:rsid w:val="000B7509"/>
    <w:rsid w:val="000C050D"/>
    <w:rsid w:val="000C05EC"/>
    <w:rsid w:val="000C0FC4"/>
    <w:rsid w:val="000C1003"/>
    <w:rsid w:val="000C123B"/>
    <w:rsid w:val="000C185A"/>
    <w:rsid w:val="000C190E"/>
    <w:rsid w:val="000C192E"/>
    <w:rsid w:val="000C271E"/>
    <w:rsid w:val="000C2B4E"/>
    <w:rsid w:val="000C2DB8"/>
    <w:rsid w:val="000C2E89"/>
    <w:rsid w:val="000C3172"/>
    <w:rsid w:val="000C31E8"/>
    <w:rsid w:val="000C3277"/>
    <w:rsid w:val="000C3B68"/>
    <w:rsid w:val="000C4905"/>
    <w:rsid w:val="000C52DE"/>
    <w:rsid w:val="000C7D4C"/>
    <w:rsid w:val="000D004D"/>
    <w:rsid w:val="000D0629"/>
    <w:rsid w:val="000D0FFC"/>
    <w:rsid w:val="000D1851"/>
    <w:rsid w:val="000D217C"/>
    <w:rsid w:val="000D3000"/>
    <w:rsid w:val="000D330C"/>
    <w:rsid w:val="000D3379"/>
    <w:rsid w:val="000D37D3"/>
    <w:rsid w:val="000D3D07"/>
    <w:rsid w:val="000D4024"/>
    <w:rsid w:val="000D4055"/>
    <w:rsid w:val="000D453B"/>
    <w:rsid w:val="000D4580"/>
    <w:rsid w:val="000D484B"/>
    <w:rsid w:val="000D495D"/>
    <w:rsid w:val="000D5575"/>
    <w:rsid w:val="000D6297"/>
    <w:rsid w:val="000D6B37"/>
    <w:rsid w:val="000D6F08"/>
    <w:rsid w:val="000D77A0"/>
    <w:rsid w:val="000E0414"/>
    <w:rsid w:val="000E0415"/>
    <w:rsid w:val="000E05BD"/>
    <w:rsid w:val="000E08FB"/>
    <w:rsid w:val="000E0BF7"/>
    <w:rsid w:val="000E0C0E"/>
    <w:rsid w:val="000E14CA"/>
    <w:rsid w:val="000E18EA"/>
    <w:rsid w:val="000E1ADC"/>
    <w:rsid w:val="000E2058"/>
    <w:rsid w:val="000E28C9"/>
    <w:rsid w:val="000E2DAE"/>
    <w:rsid w:val="000E2F61"/>
    <w:rsid w:val="000E2FA3"/>
    <w:rsid w:val="000E31A6"/>
    <w:rsid w:val="000E3403"/>
    <w:rsid w:val="000E3E26"/>
    <w:rsid w:val="000E3F53"/>
    <w:rsid w:val="000E4008"/>
    <w:rsid w:val="000E4303"/>
    <w:rsid w:val="000E44E9"/>
    <w:rsid w:val="000E450D"/>
    <w:rsid w:val="000E48C4"/>
    <w:rsid w:val="000E4FD0"/>
    <w:rsid w:val="000E549D"/>
    <w:rsid w:val="000E5863"/>
    <w:rsid w:val="000E5C73"/>
    <w:rsid w:val="000E6204"/>
    <w:rsid w:val="000E68CE"/>
    <w:rsid w:val="000E68D8"/>
    <w:rsid w:val="000E6CB1"/>
    <w:rsid w:val="000E6DAF"/>
    <w:rsid w:val="000E6F72"/>
    <w:rsid w:val="000E7BE2"/>
    <w:rsid w:val="000E7E37"/>
    <w:rsid w:val="000F0235"/>
    <w:rsid w:val="000F06EB"/>
    <w:rsid w:val="000F0AA0"/>
    <w:rsid w:val="000F1522"/>
    <w:rsid w:val="000F176A"/>
    <w:rsid w:val="000F2710"/>
    <w:rsid w:val="000F2E4A"/>
    <w:rsid w:val="000F336E"/>
    <w:rsid w:val="000F3879"/>
    <w:rsid w:val="000F393B"/>
    <w:rsid w:val="000F4054"/>
    <w:rsid w:val="000F437D"/>
    <w:rsid w:val="000F4720"/>
    <w:rsid w:val="000F48D0"/>
    <w:rsid w:val="000F4C00"/>
    <w:rsid w:val="000F4E31"/>
    <w:rsid w:val="000F4F0F"/>
    <w:rsid w:val="000F5383"/>
    <w:rsid w:val="000F55B8"/>
    <w:rsid w:val="000F5732"/>
    <w:rsid w:val="000F5D34"/>
    <w:rsid w:val="000F5EEB"/>
    <w:rsid w:val="000F6612"/>
    <w:rsid w:val="000F66BD"/>
    <w:rsid w:val="000F6AB9"/>
    <w:rsid w:val="001000E0"/>
    <w:rsid w:val="001002E4"/>
    <w:rsid w:val="00100474"/>
    <w:rsid w:val="00100B1F"/>
    <w:rsid w:val="001019E4"/>
    <w:rsid w:val="00101ED9"/>
    <w:rsid w:val="00101F0F"/>
    <w:rsid w:val="0010247A"/>
    <w:rsid w:val="00102888"/>
    <w:rsid w:val="00102BD8"/>
    <w:rsid w:val="00103B45"/>
    <w:rsid w:val="00103D92"/>
    <w:rsid w:val="001040BA"/>
    <w:rsid w:val="00104E9B"/>
    <w:rsid w:val="0010534B"/>
    <w:rsid w:val="001053D4"/>
    <w:rsid w:val="00105869"/>
    <w:rsid w:val="001058A3"/>
    <w:rsid w:val="001058C1"/>
    <w:rsid w:val="0010619D"/>
    <w:rsid w:val="00110657"/>
    <w:rsid w:val="001107C5"/>
    <w:rsid w:val="001118AB"/>
    <w:rsid w:val="0011247F"/>
    <w:rsid w:val="001125F0"/>
    <w:rsid w:val="00112602"/>
    <w:rsid w:val="001128B9"/>
    <w:rsid w:val="00112EB8"/>
    <w:rsid w:val="0011335F"/>
    <w:rsid w:val="0011346F"/>
    <w:rsid w:val="0011387F"/>
    <w:rsid w:val="001142AA"/>
    <w:rsid w:val="0011474C"/>
    <w:rsid w:val="00114C1B"/>
    <w:rsid w:val="00114C82"/>
    <w:rsid w:val="001151BD"/>
    <w:rsid w:val="00115956"/>
    <w:rsid w:val="0011645C"/>
    <w:rsid w:val="001168F2"/>
    <w:rsid w:val="001172B5"/>
    <w:rsid w:val="001174AC"/>
    <w:rsid w:val="00117D1E"/>
    <w:rsid w:val="00121102"/>
    <w:rsid w:val="00121C4A"/>
    <w:rsid w:val="001232D5"/>
    <w:rsid w:val="00123C8F"/>
    <w:rsid w:val="00123E61"/>
    <w:rsid w:val="00124E61"/>
    <w:rsid w:val="001258BF"/>
    <w:rsid w:val="00125F8D"/>
    <w:rsid w:val="00126AD7"/>
    <w:rsid w:val="0012707F"/>
    <w:rsid w:val="0012718C"/>
    <w:rsid w:val="001276A9"/>
    <w:rsid w:val="00127A7F"/>
    <w:rsid w:val="00130245"/>
    <w:rsid w:val="00130416"/>
    <w:rsid w:val="00130591"/>
    <w:rsid w:val="00130D17"/>
    <w:rsid w:val="00130E56"/>
    <w:rsid w:val="00131B0B"/>
    <w:rsid w:val="00131BC9"/>
    <w:rsid w:val="001322C6"/>
    <w:rsid w:val="0013246C"/>
    <w:rsid w:val="00133979"/>
    <w:rsid w:val="00133B68"/>
    <w:rsid w:val="0013431F"/>
    <w:rsid w:val="00134335"/>
    <w:rsid w:val="00134636"/>
    <w:rsid w:val="00134739"/>
    <w:rsid w:val="001357D8"/>
    <w:rsid w:val="00135912"/>
    <w:rsid w:val="00136106"/>
    <w:rsid w:val="00136500"/>
    <w:rsid w:val="00136905"/>
    <w:rsid w:val="00136E4E"/>
    <w:rsid w:val="00136F36"/>
    <w:rsid w:val="0013711E"/>
    <w:rsid w:val="001376F3"/>
    <w:rsid w:val="001379F0"/>
    <w:rsid w:val="00137BA6"/>
    <w:rsid w:val="00137F9C"/>
    <w:rsid w:val="001403AE"/>
    <w:rsid w:val="001407DD"/>
    <w:rsid w:val="001408A3"/>
    <w:rsid w:val="00140A2B"/>
    <w:rsid w:val="00140DC4"/>
    <w:rsid w:val="00141423"/>
    <w:rsid w:val="001416AD"/>
    <w:rsid w:val="00141741"/>
    <w:rsid w:val="00141E0C"/>
    <w:rsid w:val="001425BB"/>
    <w:rsid w:val="00142766"/>
    <w:rsid w:val="001429AC"/>
    <w:rsid w:val="00142FA6"/>
    <w:rsid w:val="00143D0A"/>
    <w:rsid w:val="00143EBC"/>
    <w:rsid w:val="00143EFD"/>
    <w:rsid w:val="00144080"/>
    <w:rsid w:val="001441AD"/>
    <w:rsid w:val="0014496D"/>
    <w:rsid w:val="00144A23"/>
    <w:rsid w:val="00145A49"/>
    <w:rsid w:val="00145BBA"/>
    <w:rsid w:val="00145E2C"/>
    <w:rsid w:val="001464D9"/>
    <w:rsid w:val="00146D32"/>
    <w:rsid w:val="00147A91"/>
    <w:rsid w:val="00147D57"/>
    <w:rsid w:val="00147ECB"/>
    <w:rsid w:val="001509BA"/>
    <w:rsid w:val="00150D23"/>
    <w:rsid w:val="00150E58"/>
    <w:rsid w:val="00151957"/>
    <w:rsid w:val="00151D0C"/>
    <w:rsid w:val="00151E43"/>
    <w:rsid w:val="001523C0"/>
    <w:rsid w:val="001526AA"/>
    <w:rsid w:val="00152737"/>
    <w:rsid w:val="00152D55"/>
    <w:rsid w:val="00153824"/>
    <w:rsid w:val="0015415B"/>
    <w:rsid w:val="00154231"/>
    <w:rsid w:val="00155477"/>
    <w:rsid w:val="001557A2"/>
    <w:rsid w:val="001563E5"/>
    <w:rsid w:val="0015677F"/>
    <w:rsid w:val="0015729E"/>
    <w:rsid w:val="00157540"/>
    <w:rsid w:val="0015763C"/>
    <w:rsid w:val="00157A8C"/>
    <w:rsid w:val="0016057B"/>
    <w:rsid w:val="00160620"/>
    <w:rsid w:val="00160E87"/>
    <w:rsid w:val="00161C08"/>
    <w:rsid w:val="0016219A"/>
    <w:rsid w:val="001622C2"/>
    <w:rsid w:val="001625E3"/>
    <w:rsid w:val="001633B0"/>
    <w:rsid w:val="00163633"/>
    <w:rsid w:val="00163DF7"/>
    <w:rsid w:val="00163E03"/>
    <w:rsid w:val="00163FCA"/>
    <w:rsid w:val="0016402D"/>
    <w:rsid w:val="00164116"/>
    <w:rsid w:val="00164615"/>
    <w:rsid w:val="00164828"/>
    <w:rsid w:val="00164C3E"/>
    <w:rsid w:val="00164EAC"/>
    <w:rsid w:val="0016505A"/>
    <w:rsid w:val="00165192"/>
    <w:rsid w:val="001657A5"/>
    <w:rsid w:val="0016607F"/>
    <w:rsid w:val="00166924"/>
    <w:rsid w:val="00166B8E"/>
    <w:rsid w:val="00167D8F"/>
    <w:rsid w:val="00170460"/>
    <w:rsid w:val="0017062F"/>
    <w:rsid w:val="001707AD"/>
    <w:rsid w:val="0017099E"/>
    <w:rsid w:val="0017122A"/>
    <w:rsid w:val="0017157D"/>
    <w:rsid w:val="001719E1"/>
    <w:rsid w:val="001723D5"/>
    <w:rsid w:val="00172C69"/>
    <w:rsid w:val="00173DB5"/>
    <w:rsid w:val="00173F57"/>
    <w:rsid w:val="00173FFF"/>
    <w:rsid w:val="0017437D"/>
    <w:rsid w:val="00174707"/>
    <w:rsid w:val="001755D6"/>
    <w:rsid w:val="00175884"/>
    <w:rsid w:val="0017595D"/>
    <w:rsid w:val="00175AEC"/>
    <w:rsid w:val="00175E41"/>
    <w:rsid w:val="00176796"/>
    <w:rsid w:val="00176D18"/>
    <w:rsid w:val="00177C4F"/>
    <w:rsid w:val="00177D50"/>
    <w:rsid w:val="001804AF"/>
    <w:rsid w:val="00180E91"/>
    <w:rsid w:val="00180FBD"/>
    <w:rsid w:val="00181065"/>
    <w:rsid w:val="00181EA1"/>
    <w:rsid w:val="00182210"/>
    <w:rsid w:val="001824A3"/>
    <w:rsid w:val="00182521"/>
    <w:rsid w:val="00182878"/>
    <w:rsid w:val="00183014"/>
    <w:rsid w:val="001832F8"/>
    <w:rsid w:val="0018412E"/>
    <w:rsid w:val="00184499"/>
    <w:rsid w:val="00184B5F"/>
    <w:rsid w:val="00184D53"/>
    <w:rsid w:val="0018524A"/>
    <w:rsid w:val="00185B84"/>
    <w:rsid w:val="00186DD2"/>
    <w:rsid w:val="00186EFD"/>
    <w:rsid w:val="00187784"/>
    <w:rsid w:val="001877CE"/>
    <w:rsid w:val="001877EC"/>
    <w:rsid w:val="00187F6B"/>
    <w:rsid w:val="001903D2"/>
    <w:rsid w:val="001904DA"/>
    <w:rsid w:val="001906D4"/>
    <w:rsid w:val="001914C2"/>
    <w:rsid w:val="001916DE"/>
    <w:rsid w:val="00191BDA"/>
    <w:rsid w:val="00191C01"/>
    <w:rsid w:val="00192014"/>
    <w:rsid w:val="00192C5E"/>
    <w:rsid w:val="00192F57"/>
    <w:rsid w:val="0019367A"/>
    <w:rsid w:val="001936EF"/>
    <w:rsid w:val="00193C8E"/>
    <w:rsid w:val="0019402E"/>
    <w:rsid w:val="00194188"/>
    <w:rsid w:val="00194543"/>
    <w:rsid w:val="0019462A"/>
    <w:rsid w:val="001948E0"/>
    <w:rsid w:val="001948ED"/>
    <w:rsid w:val="0019501B"/>
    <w:rsid w:val="00195939"/>
    <w:rsid w:val="00195C01"/>
    <w:rsid w:val="00195FA7"/>
    <w:rsid w:val="00196237"/>
    <w:rsid w:val="00196720"/>
    <w:rsid w:val="00196748"/>
    <w:rsid w:val="00196ACA"/>
    <w:rsid w:val="00196BB5"/>
    <w:rsid w:val="00196BFC"/>
    <w:rsid w:val="00196CCE"/>
    <w:rsid w:val="001A00DF"/>
    <w:rsid w:val="001A0268"/>
    <w:rsid w:val="001A07C8"/>
    <w:rsid w:val="001A1082"/>
    <w:rsid w:val="001A1685"/>
    <w:rsid w:val="001A22EA"/>
    <w:rsid w:val="001A2DBA"/>
    <w:rsid w:val="001A3D23"/>
    <w:rsid w:val="001A44DB"/>
    <w:rsid w:val="001A44E5"/>
    <w:rsid w:val="001A4E44"/>
    <w:rsid w:val="001A535A"/>
    <w:rsid w:val="001A566D"/>
    <w:rsid w:val="001A6448"/>
    <w:rsid w:val="001A72FD"/>
    <w:rsid w:val="001A737B"/>
    <w:rsid w:val="001A74D0"/>
    <w:rsid w:val="001B0DAB"/>
    <w:rsid w:val="001B0DBE"/>
    <w:rsid w:val="001B155E"/>
    <w:rsid w:val="001B1BB9"/>
    <w:rsid w:val="001B2890"/>
    <w:rsid w:val="001B2B46"/>
    <w:rsid w:val="001B2B72"/>
    <w:rsid w:val="001B3319"/>
    <w:rsid w:val="001B37A2"/>
    <w:rsid w:val="001B42C9"/>
    <w:rsid w:val="001B481F"/>
    <w:rsid w:val="001B4A2E"/>
    <w:rsid w:val="001B4B04"/>
    <w:rsid w:val="001B4EBA"/>
    <w:rsid w:val="001B50F8"/>
    <w:rsid w:val="001B5362"/>
    <w:rsid w:val="001B56D2"/>
    <w:rsid w:val="001B5A60"/>
    <w:rsid w:val="001B5E73"/>
    <w:rsid w:val="001B5FF1"/>
    <w:rsid w:val="001B668E"/>
    <w:rsid w:val="001B69CC"/>
    <w:rsid w:val="001B6ADD"/>
    <w:rsid w:val="001B7015"/>
    <w:rsid w:val="001B78B2"/>
    <w:rsid w:val="001C0147"/>
    <w:rsid w:val="001C06E5"/>
    <w:rsid w:val="001C0EB2"/>
    <w:rsid w:val="001C0FB6"/>
    <w:rsid w:val="001C110E"/>
    <w:rsid w:val="001C1CED"/>
    <w:rsid w:val="001C1D20"/>
    <w:rsid w:val="001C2675"/>
    <w:rsid w:val="001C2841"/>
    <w:rsid w:val="001C290E"/>
    <w:rsid w:val="001C2BE8"/>
    <w:rsid w:val="001C3F66"/>
    <w:rsid w:val="001C46B3"/>
    <w:rsid w:val="001C4B78"/>
    <w:rsid w:val="001C51C3"/>
    <w:rsid w:val="001C535B"/>
    <w:rsid w:val="001C5C8F"/>
    <w:rsid w:val="001C5CC9"/>
    <w:rsid w:val="001C5FC9"/>
    <w:rsid w:val="001C64F4"/>
    <w:rsid w:val="001C6663"/>
    <w:rsid w:val="001C66CB"/>
    <w:rsid w:val="001C689E"/>
    <w:rsid w:val="001C6B03"/>
    <w:rsid w:val="001C7701"/>
    <w:rsid w:val="001C7895"/>
    <w:rsid w:val="001C796C"/>
    <w:rsid w:val="001D0046"/>
    <w:rsid w:val="001D02C8"/>
    <w:rsid w:val="001D095D"/>
    <w:rsid w:val="001D0A84"/>
    <w:rsid w:val="001D114B"/>
    <w:rsid w:val="001D1418"/>
    <w:rsid w:val="001D1715"/>
    <w:rsid w:val="001D1788"/>
    <w:rsid w:val="001D21FF"/>
    <w:rsid w:val="001D26DF"/>
    <w:rsid w:val="001D2868"/>
    <w:rsid w:val="001D2E6B"/>
    <w:rsid w:val="001D30DC"/>
    <w:rsid w:val="001D37ED"/>
    <w:rsid w:val="001D3E5B"/>
    <w:rsid w:val="001D491A"/>
    <w:rsid w:val="001D4995"/>
    <w:rsid w:val="001D5576"/>
    <w:rsid w:val="001D5BB2"/>
    <w:rsid w:val="001D639F"/>
    <w:rsid w:val="001D63FB"/>
    <w:rsid w:val="001D6428"/>
    <w:rsid w:val="001D6F36"/>
    <w:rsid w:val="001D733D"/>
    <w:rsid w:val="001D742E"/>
    <w:rsid w:val="001D7667"/>
    <w:rsid w:val="001E0E33"/>
    <w:rsid w:val="001E1A82"/>
    <w:rsid w:val="001E1B09"/>
    <w:rsid w:val="001E1C2A"/>
    <w:rsid w:val="001E2159"/>
    <w:rsid w:val="001E2790"/>
    <w:rsid w:val="001E2A81"/>
    <w:rsid w:val="001E3266"/>
    <w:rsid w:val="001E407F"/>
    <w:rsid w:val="001E41D6"/>
    <w:rsid w:val="001E5024"/>
    <w:rsid w:val="001E5DB1"/>
    <w:rsid w:val="001E5EDC"/>
    <w:rsid w:val="001E6AF2"/>
    <w:rsid w:val="001E6E45"/>
    <w:rsid w:val="001E7048"/>
    <w:rsid w:val="001E7314"/>
    <w:rsid w:val="001E7606"/>
    <w:rsid w:val="001F0BD2"/>
    <w:rsid w:val="001F132D"/>
    <w:rsid w:val="001F215E"/>
    <w:rsid w:val="001F25E3"/>
    <w:rsid w:val="001F2693"/>
    <w:rsid w:val="001F2B34"/>
    <w:rsid w:val="001F2C03"/>
    <w:rsid w:val="001F2C1B"/>
    <w:rsid w:val="001F2C48"/>
    <w:rsid w:val="001F2CE2"/>
    <w:rsid w:val="001F3491"/>
    <w:rsid w:val="001F3742"/>
    <w:rsid w:val="001F4548"/>
    <w:rsid w:val="001F51EE"/>
    <w:rsid w:val="001F562F"/>
    <w:rsid w:val="001F5B68"/>
    <w:rsid w:val="001F5E24"/>
    <w:rsid w:val="001F5F98"/>
    <w:rsid w:val="001F6EC0"/>
    <w:rsid w:val="001F71F2"/>
    <w:rsid w:val="001F7B91"/>
    <w:rsid w:val="00200160"/>
    <w:rsid w:val="002005E8"/>
    <w:rsid w:val="002006E3"/>
    <w:rsid w:val="002011F2"/>
    <w:rsid w:val="00201D0E"/>
    <w:rsid w:val="002023C5"/>
    <w:rsid w:val="002025B3"/>
    <w:rsid w:val="00202849"/>
    <w:rsid w:val="0020291E"/>
    <w:rsid w:val="00202934"/>
    <w:rsid w:val="00203005"/>
    <w:rsid w:val="00203C17"/>
    <w:rsid w:val="00204424"/>
    <w:rsid w:val="00204B73"/>
    <w:rsid w:val="00204FA0"/>
    <w:rsid w:val="0020654D"/>
    <w:rsid w:val="00206CE7"/>
    <w:rsid w:val="002070D3"/>
    <w:rsid w:val="0020766C"/>
    <w:rsid w:val="00207691"/>
    <w:rsid w:val="0021071A"/>
    <w:rsid w:val="00210959"/>
    <w:rsid w:val="00211304"/>
    <w:rsid w:val="00211E0B"/>
    <w:rsid w:val="00211E72"/>
    <w:rsid w:val="002120A6"/>
    <w:rsid w:val="0021277F"/>
    <w:rsid w:val="00212A6B"/>
    <w:rsid w:val="00212EB0"/>
    <w:rsid w:val="00213700"/>
    <w:rsid w:val="002138E6"/>
    <w:rsid w:val="00213951"/>
    <w:rsid w:val="00214047"/>
    <w:rsid w:val="002142B2"/>
    <w:rsid w:val="002151A6"/>
    <w:rsid w:val="00217B4E"/>
    <w:rsid w:val="00217C66"/>
    <w:rsid w:val="00217D1B"/>
    <w:rsid w:val="00217ECD"/>
    <w:rsid w:val="0022040D"/>
    <w:rsid w:val="002208DA"/>
    <w:rsid w:val="00220C28"/>
    <w:rsid w:val="0022130F"/>
    <w:rsid w:val="00221390"/>
    <w:rsid w:val="00221ED6"/>
    <w:rsid w:val="002226A4"/>
    <w:rsid w:val="00222C60"/>
    <w:rsid w:val="00222C6A"/>
    <w:rsid w:val="00222EDB"/>
    <w:rsid w:val="002233B2"/>
    <w:rsid w:val="00223A09"/>
    <w:rsid w:val="00223D6E"/>
    <w:rsid w:val="0022408B"/>
    <w:rsid w:val="0022462F"/>
    <w:rsid w:val="00224A94"/>
    <w:rsid w:val="002250E4"/>
    <w:rsid w:val="00225287"/>
    <w:rsid w:val="00225605"/>
    <w:rsid w:val="00225732"/>
    <w:rsid w:val="0022741B"/>
    <w:rsid w:val="002274E4"/>
    <w:rsid w:val="00227FD4"/>
    <w:rsid w:val="00230334"/>
    <w:rsid w:val="00230744"/>
    <w:rsid w:val="00231224"/>
    <w:rsid w:val="00232B4C"/>
    <w:rsid w:val="002336C5"/>
    <w:rsid w:val="00233ACE"/>
    <w:rsid w:val="00233B8E"/>
    <w:rsid w:val="00233BEF"/>
    <w:rsid w:val="00234357"/>
    <w:rsid w:val="00234D20"/>
    <w:rsid w:val="00234D69"/>
    <w:rsid w:val="002355C0"/>
    <w:rsid w:val="00235BD5"/>
    <w:rsid w:val="00236176"/>
    <w:rsid w:val="0023675C"/>
    <w:rsid w:val="00236AAD"/>
    <w:rsid w:val="00236D04"/>
    <w:rsid w:val="00236EF4"/>
    <w:rsid w:val="00236FCA"/>
    <w:rsid w:val="00237429"/>
    <w:rsid w:val="00237785"/>
    <w:rsid w:val="00237A16"/>
    <w:rsid w:val="00237E06"/>
    <w:rsid w:val="00240B21"/>
    <w:rsid w:val="002410DD"/>
    <w:rsid w:val="002413C1"/>
    <w:rsid w:val="00241466"/>
    <w:rsid w:val="00241507"/>
    <w:rsid w:val="0024157F"/>
    <w:rsid w:val="00241AB8"/>
    <w:rsid w:val="00242289"/>
    <w:rsid w:val="0024239E"/>
    <w:rsid w:val="00242BD8"/>
    <w:rsid w:val="00242FF3"/>
    <w:rsid w:val="0024312B"/>
    <w:rsid w:val="00243CDD"/>
    <w:rsid w:val="0024448B"/>
    <w:rsid w:val="002444CF"/>
    <w:rsid w:val="002450D8"/>
    <w:rsid w:val="00245487"/>
    <w:rsid w:val="0024564F"/>
    <w:rsid w:val="00246218"/>
    <w:rsid w:val="00246B0E"/>
    <w:rsid w:val="00246C42"/>
    <w:rsid w:val="00246E6B"/>
    <w:rsid w:val="002477AD"/>
    <w:rsid w:val="00247E9B"/>
    <w:rsid w:val="002503D1"/>
    <w:rsid w:val="002508D3"/>
    <w:rsid w:val="002509A7"/>
    <w:rsid w:val="00250B4D"/>
    <w:rsid w:val="00251276"/>
    <w:rsid w:val="00251A45"/>
    <w:rsid w:val="00253014"/>
    <w:rsid w:val="0025333A"/>
    <w:rsid w:val="00253471"/>
    <w:rsid w:val="00253D58"/>
    <w:rsid w:val="00254965"/>
    <w:rsid w:val="00254A6A"/>
    <w:rsid w:val="00255C58"/>
    <w:rsid w:val="002574FA"/>
    <w:rsid w:val="00257A95"/>
    <w:rsid w:val="0026029B"/>
    <w:rsid w:val="002603FC"/>
    <w:rsid w:val="00260855"/>
    <w:rsid w:val="0026124D"/>
    <w:rsid w:val="00261414"/>
    <w:rsid w:val="00261558"/>
    <w:rsid w:val="002619C1"/>
    <w:rsid w:val="00262031"/>
    <w:rsid w:val="0026269A"/>
    <w:rsid w:val="002626C0"/>
    <w:rsid w:val="00262B16"/>
    <w:rsid w:val="00262C24"/>
    <w:rsid w:val="00262E3F"/>
    <w:rsid w:val="00263C6B"/>
    <w:rsid w:val="00263F3E"/>
    <w:rsid w:val="002647EE"/>
    <w:rsid w:val="0026491C"/>
    <w:rsid w:val="00264B04"/>
    <w:rsid w:val="00265552"/>
    <w:rsid w:val="002664A3"/>
    <w:rsid w:val="002664F6"/>
    <w:rsid w:val="00266609"/>
    <w:rsid w:val="002666EA"/>
    <w:rsid w:val="00266900"/>
    <w:rsid w:val="00267633"/>
    <w:rsid w:val="002705E4"/>
    <w:rsid w:val="002709CF"/>
    <w:rsid w:val="00270EC8"/>
    <w:rsid w:val="00271AA5"/>
    <w:rsid w:val="00272863"/>
    <w:rsid w:val="002728D5"/>
    <w:rsid w:val="00272E4F"/>
    <w:rsid w:val="002731B3"/>
    <w:rsid w:val="002735CB"/>
    <w:rsid w:val="00274555"/>
    <w:rsid w:val="002750A7"/>
    <w:rsid w:val="002758A3"/>
    <w:rsid w:val="00275CA9"/>
    <w:rsid w:val="002760C3"/>
    <w:rsid w:val="00276407"/>
    <w:rsid w:val="002766D8"/>
    <w:rsid w:val="0027725F"/>
    <w:rsid w:val="00277DBB"/>
    <w:rsid w:val="00277EB1"/>
    <w:rsid w:val="00280A10"/>
    <w:rsid w:val="00280FBC"/>
    <w:rsid w:val="002810D4"/>
    <w:rsid w:val="0028162E"/>
    <w:rsid w:val="0028188B"/>
    <w:rsid w:val="00281A35"/>
    <w:rsid w:val="002822E0"/>
    <w:rsid w:val="00282964"/>
    <w:rsid w:val="00282A69"/>
    <w:rsid w:val="00283092"/>
    <w:rsid w:val="00283F0C"/>
    <w:rsid w:val="0028418E"/>
    <w:rsid w:val="00284935"/>
    <w:rsid w:val="00284E68"/>
    <w:rsid w:val="0028518C"/>
    <w:rsid w:val="002852FF"/>
    <w:rsid w:val="0028569B"/>
    <w:rsid w:val="002858BE"/>
    <w:rsid w:val="00285A64"/>
    <w:rsid w:val="00285AA0"/>
    <w:rsid w:val="00285BD3"/>
    <w:rsid w:val="00285FD4"/>
    <w:rsid w:val="00286F35"/>
    <w:rsid w:val="00287082"/>
    <w:rsid w:val="002877F6"/>
    <w:rsid w:val="00287BF6"/>
    <w:rsid w:val="00287C0E"/>
    <w:rsid w:val="00287CE8"/>
    <w:rsid w:val="00287FFC"/>
    <w:rsid w:val="002905BF"/>
    <w:rsid w:val="00291293"/>
    <w:rsid w:val="002918A8"/>
    <w:rsid w:val="00292A14"/>
    <w:rsid w:val="00292BD0"/>
    <w:rsid w:val="00292D32"/>
    <w:rsid w:val="0029337C"/>
    <w:rsid w:val="00293889"/>
    <w:rsid w:val="00293898"/>
    <w:rsid w:val="00293EDC"/>
    <w:rsid w:val="00293FCD"/>
    <w:rsid w:val="0029406D"/>
    <w:rsid w:val="002948A9"/>
    <w:rsid w:val="00294925"/>
    <w:rsid w:val="00294A02"/>
    <w:rsid w:val="00294A5A"/>
    <w:rsid w:val="00294C40"/>
    <w:rsid w:val="00295260"/>
    <w:rsid w:val="002955C6"/>
    <w:rsid w:val="002956FC"/>
    <w:rsid w:val="00295B95"/>
    <w:rsid w:val="00295DAF"/>
    <w:rsid w:val="002962D0"/>
    <w:rsid w:val="00296941"/>
    <w:rsid w:val="00297A6F"/>
    <w:rsid w:val="00297D4F"/>
    <w:rsid w:val="002A04BF"/>
    <w:rsid w:val="002A17B1"/>
    <w:rsid w:val="002A260F"/>
    <w:rsid w:val="002A2A5B"/>
    <w:rsid w:val="002A2AE5"/>
    <w:rsid w:val="002A2BEF"/>
    <w:rsid w:val="002A2CCE"/>
    <w:rsid w:val="002A2E02"/>
    <w:rsid w:val="002A34C3"/>
    <w:rsid w:val="002A35BD"/>
    <w:rsid w:val="002A3756"/>
    <w:rsid w:val="002A3F84"/>
    <w:rsid w:val="002A49EC"/>
    <w:rsid w:val="002A4C48"/>
    <w:rsid w:val="002A4E42"/>
    <w:rsid w:val="002A5AC9"/>
    <w:rsid w:val="002A5B0A"/>
    <w:rsid w:val="002A5B31"/>
    <w:rsid w:val="002A5D28"/>
    <w:rsid w:val="002A5FC0"/>
    <w:rsid w:val="002A603C"/>
    <w:rsid w:val="002A612B"/>
    <w:rsid w:val="002A6311"/>
    <w:rsid w:val="002A6312"/>
    <w:rsid w:val="002A673D"/>
    <w:rsid w:val="002A7522"/>
    <w:rsid w:val="002A7712"/>
    <w:rsid w:val="002B0C1F"/>
    <w:rsid w:val="002B1154"/>
    <w:rsid w:val="002B1209"/>
    <w:rsid w:val="002B1904"/>
    <w:rsid w:val="002B1FF0"/>
    <w:rsid w:val="002B213D"/>
    <w:rsid w:val="002B284C"/>
    <w:rsid w:val="002B2928"/>
    <w:rsid w:val="002B3EC1"/>
    <w:rsid w:val="002B4FF3"/>
    <w:rsid w:val="002B5233"/>
    <w:rsid w:val="002B5239"/>
    <w:rsid w:val="002B525C"/>
    <w:rsid w:val="002B5915"/>
    <w:rsid w:val="002B5E07"/>
    <w:rsid w:val="002B5FD2"/>
    <w:rsid w:val="002B6EF1"/>
    <w:rsid w:val="002B6F5B"/>
    <w:rsid w:val="002B772A"/>
    <w:rsid w:val="002B79C9"/>
    <w:rsid w:val="002C0202"/>
    <w:rsid w:val="002C02EB"/>
    <w:rsid w:val="002C0A27"/>
    <w:rsid w:val="002C0F8D"/>
    <w:rsid w:val="002C14FB"/>
    <w:rsid w:val="002C21F0"/>
    <w:rsid w:val="002C290D"/>
    <w:rsid w:val="002C2C49"/>
    <w:rsid w:val="002C2F04"/>
    <w:rsid w:val="002C399B"/>
    <w:rsid w:val="002C437D"/>
    <w:rsid w:val="002C43AF"/>
    <w:rsid w:val="002C54E5"/>
    <w:rsid w:val="002C5D1B"/>
    <w:rsid w:val="002C6D24"/>
    <w:rsid w:val="002C73B6"/>
    <w:rsid w:val="002D024F"/>
    <w:rsid w:val="002D0EDD"/>
    <w:rsid w:val="002D1298"/>
    <w:rsid w:val="002D13A8"/>
    <w:rsid w:val="002D17EA"/>
    <w:rsid w:val="002D1D4B"/>
    <w:rsid w:val="002D2676"/>
    <w:rsid w:val="002D2CE4"/>
    <w:rsid w:val="002D3602"/>
    <w:rsid w:val="002D3BB9"/>
    <w:rsid w:val="002D4260"/>
    <w:rsid w:val="002D43F8"/>
    <w:rsid w:val="002D4A4D"/>
    <w:rsid w:val="002D50B5"/>
    <w:rsid w:val="002D52E5"/>
    <w:rsid w:val="002D555C"/>
    <w:rsid w:val="002D5CFF"/>
    <w:rsid w:val="002D5D78"/>
    <w:rsid w:val="002D5F2C"/>
    <w:rsid w:val="002D7686"/>
    <w:rsid w:val="002E0285"/>
    <w:rsid w:val="002E0375"/>
    <w:rsid w:val="002E04E4"/>
    <w:rsid w:val="002E1514"/>
    <w:rsid w:val="002E1532"/>
    <w:rsid w:val="002E1917"/>
    <w:rsid w:val="002E1C96"/>
    <w:rsid w:val="002E2526"/>
    <w:rsid w:val="002E279A"/>
    <w:rsid w:val="002E2BF6"/>
    <w:rsid w:val="002E3E32"/>
    <w:rsid w:val="002E42DB"/>
    <w:rsid w:val="002E45C8"/>
    <w:rsid w:val="002E4682"/>
    <w:rsid w:val="002E46E2"/>
    <w:rsid w:val="002E499F"/>
    <w:rsid w:val="002E5535"/>
    <w:rsid w:val="002E57C7"/>
    <w:rsid w:val="002E58D0"/>
    <w:rsid w:val="002E640A"/>
    <w:rsid w:val="002E6FA4"/>
    <w:rsid w:val="002E7FDC"/>
    <w:rsid w:val="002F06CE"/>
    <w:rsid w:val="002F113C"/>
    <w:rsid w:val="002F184F"/>
    <w:rsid w:val="002F1CCA"/>
    <w:rsid w:val="002F20B6"/>
    <w:rsid w:val="002F23EB"/>
    <w:rsid w:val="002F28A9"/>
    <w:rsid w:val="002F2AAC"/>
    <w:rsid w:val="002F2C2C"/>
    <w:rsid w:val="002F2F68"/>
    <w:rsid w:val="002F3606"/>
    <w:rsid w:val="002F3748"/>
    <w:rsid w:val="002F49F2"/>
    <w:rsid w:val="002F53A5"/>
    <w:rsid w:val="002F57E8"/>
    <w:rsid w:val="002F592D"/>
    <w:rsid w:val="002F5D8F"/>
    <w:rsid w:val="002F5E9E"/>
    <w:rsid w:val="002F5FFE"/>
    <w:rsid w:val="002F647E"/>
    <w:rsid w:val="002F65EF"/>
    <w:rsid w:val="002F6744"/>
    <w:rsid w:val="002F68FC"/>
    <w:rsid w:val="002F6A2B"/>
    <w:rsid w:val="002F6B59"/>
    <w:rsid w:val="002F7952"/>
    <w:rsid w:val="002F7EC7"/>
    <w:rsid w:val="00300341"/>
    <w:rsid w:val="003003C6"/>
    <w:rsid w:val="0030048A"/>
    <w:rsid w:val="0030055A"/>
    <w:rsid w:val="00300AAA"/>
    <w:rsid w:val="00300B7C"/>
    <w:rsid w:val="00300CA7"/>
    <w:rsid w:val="00300D3C"/>
    <w:rsid w:val="00300E5F"/>
    <w:rsid w:val="003017B9"/>
    <w:rsid w:val="00302241"/>
    <w:rsid w:val="0030227F"/>
    <w:rsid w:val="003037F1"/>
    <w:rsid w:val="003039EB"/>
    <w:rsid w:val="00303AFF"/>
    <w:rsid w:val="00303DFA"/>
    <w:rsid w:val="0030412B"/>
    <w:rsid w:val="003046AD"/>
    <w:rsid w:val="003052C7"/>
    <w:rsid w:val="003053A4"/>
    <w:rsid w:val="003059B0"/>
    <w:rsid w:val="0030600A"/>
    <w:rsid w:val="00306853"/>
    <w:rsid w:val="00307A72"/>
    <w:rsid w:val="00307F0B"/>
    <w:rsid w:val="0031001E"/>
    <w:rsid w:val="003107FA"/>
    <w:rsid w:val="00310C20"/>
    <w:rsid w:val="0031190E"/>
    <w:rsid w:val="00311C46"/>
    <w:rsid w:val="0031215E"/>
    <w:rsid w:val="00312B9C"/>
    <w:rsid w:val="00313070"/>
    <w:rsid w:val="00313AC2"/>
    <w:rsid w:val="00314267"/>
    <w:rsid w:val="00314358"/>
    <w:rsid w:val="003143BA"/>
    <w:rsid w:val="003149F8"/>
    <w:rsid w:val="003152FC"/>
    <w:rsid w:val="003153A6"/>
    <w:rsid w:val="003156D4"/>
    <w:rsid w:val="00315833"/>
    <w:rsid w:val="00315BB3"/>
    <w:rsid w:val="00315FF5"/>
    <w:rsid w:val="003162FE"/>
    <w:rsid w:val="00316C5A"/>
    <w:rsid w:val="00316D84"/>
    <w:rsid w:val="003172EB"/>
    <w:rsid w:val="0031794E"/>
    <w:rsid w:val="00317977"/>
    <w:rsid w:val="003179F9"/>
    <w:rsid w:val="00317C6E"/>
    <w:rsid w:val="00320240"/>
    <w:rsid w:val="00320313"/>
    <w:rsid w:val="0032060B"/>
    <w:rsid w:val="00320615"/>
    <w:rsid w:val="003206AC"/>
    <w:rsid w:val="003208B1"/>
    <w:rsid w:val="00320E66"/>
    <w:rsid w:val="00321220"/>
    <w:rsid w:val="00321575"/>
    <w:rsid w:val="00321813"/>
    <w:rsid w:val="00321995"/>
    <w:rsid w:val="00321997"/>
    <w:rsid w:val="0032201B"/>
    <w:rsid w:val="00322496"/>
    <w:rsid w:val="00322652"/>
    <w:rsid w:val="003229D8"/>
    <w:rsid w:val="003229F7"/>
    <w:rsid w:val="00322BDD"/>
    <w:rsid w:val="00322F56"/>
    <w:rsid w:val="003241A8"/>
    <w:rsid w:val="003246E5"/>
    <w:rsid w:val="0032485C"/>
    <w:rsid w:val="003249C0"/>
    <w:rsid w:val="00324C59"/>
    <w:rsid w:val="00325293"/>
    <w:rsid w:val="003252BF"/>
    <w:rsid w:val="0032533C"/>
    <w:rsid w:val="0032593C"/>
    <w:rsid w:val="0032705F"/>
    <w:rsid w:val="00327870"/>
    <w:rsid w:val="00327AEE"/>
    <w:rsid w:val="00327BD1"/>
    <w:rsid w:val="00327FED"/>
    <w:rsid w:val="0033066A"/>
    <w:rsid w:val="003307A6"/>
    <w:rsid w:val="003314D1"/>
    <w:rsid w:val="00331F6A"/>
    <w:rsid w:val="0033318B"/>
    <w:rsid w:val="00333318"/>
    <w:rsid w:val="00333EA0"/>
    <w:rsid w:val="00334A7B"/>
    <w:rsid w:val="00334CC6"/>
    <w:rsid w:val="00334DDD"/>
    <w:rsid w:val="00335A08"/>
    <w:rsid w:val="00335A2F"/>
    <w:rsid w:val="00336BE9"/>
    <w:rsid w:val="00336C32"/>
    <w:rsid w:val="00337695"/>
    <w:rsid w:val="00340243"/>
    <w:rsid w:val="00340376"/>
    <w:rsid w:val="00340E7B"/>
    <w:rsid w:val="00341937"/>
    <w:rsid w:val="00343C24"/>
    <w:rsid w:val="00343D19"/>
    <w:rsid w:val="00344023"/>
    <w:rsid w:val="00344063"/>
    <w:rsid w:val="003450AA"/>
    <w:rsid w:val="0034518E"/>
    <w:rsid w:val="003454E4"/>
    <w:rsid w:val="00346F54"/>
    <w:rsid w:val="0034757A"/>
    <w:rsid w:val="003478A1"/>
    <w:rsid w:val="00347ADE"/>
    <w:rsid w:val="00347D71"/>
    <w:rsid w:val="00350253"/>
    <w:rsid w:val="00350887"/>
    <w:rsid w:val="00350895"/>
    <w:rsid w:val="0035095D"/>
    <w:rsid w:val="003519F1"/>
    <w:rsid w:val="00351B1D"/>
    <w:rsid w:val="00351CFD"/>
    <w:rsid w:val="0035347B"/>
    <w:rsid w:val="003539F0"/>
    <w:rsid w:val="00353AA5"/>
    <w:rsid w:val="00353EC6"/>
    <w:rsid w:val="003541C3"/>
    <w:rsid w:val="003549B2"/>
    <w:rsid w:val="00354A23"/>
    <w:rsid w:val="00354F27"/>
    <w:rsid w:val="00355127"/>
    <w:rsid w:val="003551EB"/>
    <w:rsid w:val="00356093"/>
    <w:rsid w:val="00357946"/>
    <w:rsid w:val="00357AB2"/>
    <w:rsid w:val="00357CAB"/>
    <w:rsid w:val="00357EBB"/>
    <w:rsid w:val="00357F29"/>
    <w:rsid w:val="0036027D"/>
    <w:rsid w:val="00360EB3"/>
    <w:rsid w:val="00361389"/>
    <w:rsid w:val="0036222E"/>
    <w:rsid w:val="0036235D"/>
    <w:rsid w:val="003634AF"/>
    <w:rsid w:val="00363558"/>
    <w:rsid w:val="00364348"/>
    <w:rsid w:val="00364374"/>
    <w:rsid w:val="00364487"/>
    <w:rsid w:val="0036542B"/>
    <w:rsid w:val="0036571D"/>
    <w:rsid w:val="00366B8D"/>
    <w:rsid w:val="00366F9A"/>
    <w:rsid w:val="003674E4"/>
    <w:rsid w:val="003678E3"/>
    <w:rsid w:val="00367952"/>
    <w:rsid w:val="00370A1F"/>
    <w:rsid w:val="00370A29"/>
    <w:rsid w:val="00370A38"/>
    <w:rsid w:val="00372017"/>
    <w:rsid w:val="003730D6"/>
    <w:rsid w:val="00373E7B"/>
    <w:rsid w:val="00374081"/>
    <w:rsid w:val="00374EF2"/>
    <w:rsid w:val="00375C61"/>
    <w:rsid w:val="00376595"/>
    <w:rsid w:val="00376CF0"/>
    <w:rsid w:val="003775FF"/>
    <w:rsid w:val="003804B2"/>
    <w:rsid w:val="00380819"/>
    <w:rsid w:val="00380AB6"/>
    <w:rsid w:val="00380C53"/>
    <w:rsid w:val="003817CB"/>
    <w:rsid w:val="0038200B"/>
    <w:rsid w:val="00382473"/>
    <w:rsid w:val="003824D8"/>
    <w:rsid w:val="0038284E"/>
    <w:rsid w:val="0038305F"/>
    <w:rsid w:val="00383222"/>
    <w:rsid w:val="00384020"/>
    <w:rsid w:val="00384445"/>
    <w:rsid w:val="00384864"/>
    <w:rsid w:val="00384A1B"/>
    <w:rsid w:val="003855C4"/>
    <w:rsid w:val="0038581D"/>
    <w:rsid w:val="003858FA"/>
    <w:rsid w:val="00385A0A"/>
    <w:rsid w:val="00385AC8"/>
    <w:rsid w:val="00385E38"/>
    <w:rsid w:val="003861A3"/>
    <w:rsid w:val="00386AA6"/>
    <w:rsid w:val="00386DF7"/>
    <w:rsid w:val="0038728A"/>
    <w:rsid w:val="003876F5"/>
    <w:rsid w:val="003878D4"/>
    <w:rsid w:val="00387F90"/>
    <w:rsid w:val="00390016"/>
    <w:rsid w:val="00390201"/>
    <w:rsid w:val="0039084F"/>
    <w:rsid w:val="00390D66"/>
    <w:rsid w:val="00391276"/>
    <w:rsid w:val="003914D0"/>
    <w:rsid w:val="00391A4F"/>
    <w:rsid w:val="00391A78"/>
    <w:rsid w:val="00391C39"/>
    <w:rsid w:val="00391E5A"/>
    <w:rsid w:val="00392020"/>
    <w:rsid w:val="003921F7"/>
    <w:rsid w:val="0039277A"/>
    <w:rsid w:val="00393847"/>
    <w:rsid w:val="003938A0"/>
    <w:rsid w:val="00393E08"/>
    <w:rsid w:val="00394641"/>
    <w:rsid w:val="00394A52"/>
    <w:rsid w:val="00395004"/>
    <w:rsid w:val="0039510F"/>
    <w:rsid w:val="003951B3"/>
    <w:rsid w:val="00395695"/>
    <w:rsid w:val="00395C13"/>
    <w:rsid w:val="00395FA5"/>
    <w:rsid w:val="00396876"/>
    <w:rsid w:val="00396D8F"/>
    <w:rsid w:val="00396ECE"/>
    <w:rsid w:val="003972E0"/>
    <w:rsid w:val="003972FB"/>
    <w:rsid w:val="003975ED"/>
    <w:rsid w:val="003A0366"/>
    <w:rsid w:val="003A0E52"/>
    <w:rsid w:val="003A18CC"/>
    <w:rsid w:val="003A194D"/>
    <w:rsid w:val="003A1986"/>
    <w:rsid w:val="003A2658"/>
    <w:rsid w:val="003A2666"/>
    <w:rsid w:val="003A26F2"/>
    <w:rsid w:val="003A365F"/>
    <w:rsid w:val="003A36B8"/>
    <w:rsid w:val="003A4121"/>
    <w:rsid w:val="003A4289"/>
    <w:rsid w:val="003A4320"/>
    <w:rsid w:val="003A50CF"/>
    <w:rsid w:val="003A5140"/>
    <w:rsid w:val="003A53D1"/>
    <w:rsid w:val="003A5A9B"/>
    <w:rsid w:val="003A667D"/>
    <w:rsid w:val="003A6979"/>
    <w:rsid w:val="003A6D57"/>
    <w:rsid w:val="003A741C"/>
    <w:rsid w:val="003A76E4"/>
    <w:rsid w:val="003A76F7"/>
    <w:rsid w:val="003A783B"/>
    <w:rsid w:val="003A79D1"/>
    <w:rsid w:val="003A7FEF"/>
    <w:rsid w:val="003B052F"/>
    <w:rsid w:val="003B0CE9"/>
    <w:rsid w:val="003B0F5D"/>
    <w:rsid w:val="003B1078"/>
    <w:rsid w:val="003B11B5"/>
    <w:rsid w:val="003B12EE"/>
    <w:rsid w:val="003B18A1"/>
    <w:rsid w:val="003B1989"/>
    <w:rsid w:val="003B1AD0"/>
    <w:rsid w:val="003B2660"/>
    <w:rsid w:val="003B27E5"/>
    <w:rsid w:val="003B2E78"/>
    <w:rsid w:val="003B3161"/>
    <w:rsid w:val="003B35BC"/>
    <w:rsid w:val="003B3C76"/>
    <w:rsid w:val="003B3ED7"/>
    <w:rsid w:val="003B4D79"/>
    <w:rsid w:val="003B5477"/>
    <w:rsid w:val="003B558B"/>
    <w:rsid w:val="003B5725"/>
    <w:rsid w:val="003B5BA1"/>
    <w:rsid w:val="003B63B5"/>
    <w:rsid w:val="003B692A"/>
    <w:rsid w:val="003B74D9"/>
    <w:rsid w:val="003B7E96"/>
    <w:rsid w:val="003C04D0"/>
    <w:rsid w:val="003C0BC2"/>
    <w:rsid w:val="003C0F53"/>
    <w:rsid w:val="003C0F65"/>
    <w:rsid w:val="003C19FE"/>
    <w:rsid w:val="003C1BA2"/>
    <w:rsid w:val="003C1EE0"/>
    <w:rsid w:val="003C2CC4"/>
    <w:rsid w:val="003C35A1"/>
    <w:rsid w:val="003C38C0"/>
    <w:rsid w:val="003C3C33"/>
    <w:rsid w:val="003C50F0"/>
    <w:rsid w:val="003C5106"/>
    <w:rsid w:val="003C5647"/>
    <w:rsid w:val="003C5665"/>
    <w:rsid w:val="003C6622"/>
    <w:rsid w:val="003C6F37"/>
    <w:rsid w:val="003D00E7"/>
    <w:rsid w:val="003D1259"/>
    <w:rsid w:val="003D19E7"/>
    <w:rsid w:val="003D1BEF"/>
    <w:rsid w:val="003D255D"/>
    <w:rsid w:val="003D25EE"/>
    <w:rsid w:val="003D2F60"/>
    <w:rsid w:val="003D3BB3"/>
    <w:rsid w:val="003D416E"/>
    <w:rsid w:val="003D42A3"/>
    <w:rsid w:val="003D459F"/>
    <w:rsid w:val="003D4B23"/>
    <w:rsid w:val="003D5135"/>
    <w:rsid w:val="003D5203"/>
    <w:rsid w:val="003D52AF"/>
    <w:rsid w:val="003D52CD"/>
    <w:rsid w:val="003D58BB"/>
    <w:rsid w:val="003D637F"/>
    <w:rsid w:val="003D63F8"/>
    <w:rsid w:val="003D6710"/>
    <w:rsid w:val="003D74DE"/>
    <w:rsid w:val="003E0134"/>
    <w:rsid w:val="003E0575"/>
    <w:rsid w:val="003E0612"/>
    <w:rsid w:val="003E089E"/>
    <w:rsid w:val="003E0ADA"/>
    <w:rsid w:val="003E0D01"/>
    <w:rsid w:val="003E3C2B"/>
    <w:rsid w:val="003E4044"/>
    <w:rsid w:val="003E4A7E"/>
    <w:rsid w:val="003E4B01"/>
    <w:rsid w:val="003E5AD6"/>
    <w:rsid w:val="003E5EBB"/>
    <w:rsid w:val="003E615E"/>
    <w:rsid w:val="003E637E"/>
    <w:rsid w:val="003E64D5"/>
    <w:rsid w:val="003E769E"/>
    <w:rsid w:val="003E78DB"/>
    <w:rsid w:val="003E7A7B"/>
    <w:rsid w:val="003E7AC3"/>
    <w:rsid w:val="003E7D03"/>
    <w:rsid w:val="003E7E37"/>
    <w:rsid w:val="003F0272"/>
    <w:rsid w:val="003F0466"/>
    <w:rsid w:val="003F076A"/>
    <w:rsid w:val="003F0A22"/>
    <w:rsid w:val="003F0B73"/>
    <w:rsid w:val="003F22C7"/>
    <w:rsid w:val="003F2386"/>
    <w:rsid w:val="003F2727"/>
    <w:rsid w:val="003F2776"/>
    <w:rsid w:val="003F4880"/>
    <w:rsid w:val="003F4C25"/>
    <w:rsid w:val="003F4DA7"/>
    <w:rsid w:val="003F519D"/>
    <w:rsid w:val="003F521F"/>
    <w:rsid w:val="003F54ED"/>
    <w:rsid w:val="003F5C5F"/>
    <w:rsid w:val="003F5D63"/>
    <w:rsid w:val="003F5D97"/>
    <w:rsid w:val="003F5F1B"/>
    <w:rsid w:val="003F6707"/>
    <w:rsid w:val="003F6907"/>
    <w:rsid w:val="003F69CD"/>
    <w:rsid w:val="003F786D"/>
    <w:rsid w:val="003F7AEC"/>
    <w:rsid w:val="00400761"/>
    <w:rsid w:val="00400EF9"/>
    <w:rsid w:val="00400F80"/>
    <w:rsid w:val="00401046"/>
    <w:rsid w:val="00401605"/>
    <w:rsid w:val="00401E0E"/>
    <w:rsid w:val="00403195"/>
    <w:rsid w:val="004032C4"/>
    <w:rsid w:val="00403904"/>
    <w:rsid w:val="004039C5"/>
    <w:rsid w:val="00404749"/>
    <w:rsid w:val="004051A8"/>
    <w:rsid w:val="0040544C"/>
    <w:rsid w:val="004055CC"/>
    <w:rsid w:val="00405E63"/>
    <w:rsid w:val="00405FBA"/>
    <w:rsid w:val="004065D2"/>
    <w:rsid w:val="00406CA7"/>
    <w:rsid w:val="004070CF"/>
    <w:rsid w:val="004071B8"/>
    <w:rsid w:val="00407390"/>
    <w:rsid w:val="004078BC"/>
    <w:rsid w:val="0041016E"/>
    <w:rsid w:val="004108EA"/>
    <w:rsid w:val="0041093C"/>
    <w:rsid w:val="00410AB0"/>
    <w:rsid w:val="00410DE8"/>
    <w:rsid w:val="00410E70"/>
    <w:rsid w:val="004116D2"/>
    <w:rsid w:val="004126AD"/>
    <w:rsid w:val="004126EB"/>
    <w:rsid w:val="00412880"/>
    <w:rsid w:val="004138A5"/>
    <w:rsid w:val="0041390C"/>
    <w:rsid w:val="00413A17"/>
    <w:rsid w:val="004143A5"/>
    <w:rsid w:val="004151AE"/>
    <w:rsid w:val="004152A3"/>
    <w:rsid w:val="0041568F"/>
    <w:rsid w:val="00415D34"/>
    <w:rsid w:val="00415D38"/>
    <w:rsid w:val="00415EF8"/>
    <w:rsid w:val="00416B54"/>
    <w:rsid w:val="00417EAE"/>
    <w:rsid w:val="004206B2"/>
    <w:rsid w:val="0042111D"/>
    <w:rsid w:val="004212E2"/>
    <w:rsid w:val="00421617"/>
    <w:rsid w:val="00421BE7"/>
    <w:rsid w:val="004223FC"/>
    <w:rsid w:val="00422F23"/>
    <w:rsid w:val="0042337B"/>
    <w:rsid w:val="004233DA"/>
    <w:rsid w:val="004235EF"/>
    <w:rsid w:val="00423E43"/>
    <w:rsid w:val="0042470F"/>
    <w:rsid w:val="00424C80"/>
    <w:rsid w:val="004251B3"/>
    <w:rsid w:val="004258DB"/>
    <w:rsid w:val="004258FB"/>
    <w:rsid w:val="00425E2A"/>
    <w:rsid w:val="004260C5"/>
    <w:rsid w:val="00426104"/>
    <w:rsid w:val="0042613E"/>
    <w:rsid w:val="00426361"/>
    <w:rsid w:val="00426803"/>
    <w:rsid w:val="00426F90"/>
    <w:rsid w:val="0042711F"/>
    <w:rsid w:val="0042725F"/>
    <w:rsid w:val="004301A5"/>
    <w:rsid w:val="00430481"/>
    <w:rsid w:val="00431E44"/>
    <w:rsid w:val="004325CB"/>
    <w:rsid w:val="00432D5C"/>
    <w:rsid w:val="00434426"/>
    <w:rsid w:val="00434611"/>
    <w:rsid w:val="00434AAC"/>
    <w:rsid w:val="00435379"/>
    <w:rsid w:val="00435386"/>
    <w:rsid w:val="00436250"/>
    <w:rsid w:val="00436B5B"/>
    <w:rsid w:val="00436F59"/>
    <w:rsid w:val="00437411"/>
    <w:rsid w:val="00437D07"/>
    <w:rsid w:val="0044043C"/>
    <w:rsid w:val="00440464"/>
    <w:rsid w:val="00440BF5"/>
    <w:rsid w:val="00440F96"/>
    <w:rsid w:val="0044109D"/>
    <w:rsid w:val="00441683"/>
    <w:rsid w:val="0044172D"/>
    <w:rsid w:val="00442517"/>
    <w:rsid w:val="00442565"/>
    <w:rsid w:val="00442C37"/>
    <w:rsid w:val="00442E64"/>
    <w:rsid w:val="00442EC3"/>
    <w:rsid w:val="0044441E"/>
    <w:rsid w:val="004445CA"/>
    <w:rsid w:val="00444935"/>
    <w:rsid w:val="00444AC0"/>
    <w:rsid w:val="00444D0B"/>
    <w:rsid w:val="00444D54"/>
    <w:rsid w:val="0044503A"/>
    <w:rsid w:val="0044525E"/>
    <w:rsid w:val="00445367"/>
    <w:rsid w:val="00445A97"/>
    <w:rsid w:val="00446112"/>
    <w:rsid w:val="004465D9"/>
    <w:rsid w:val="00446678"/>
    <w:rsid w:val="00446757"/>
    <w:rsid w:val="004468FC"/>
    <w:rsid w:val="00446DE4"/>
    <w:rsid w:val="00446F5E"/>
    <w:rsid w:val="00447761"/>
    <w:rsid w:val="00447AF4"/>
    <w:rsid w:val="00447C09"/>
    <w:rsid w:val="00450A89"/>
    <w:rsid w:val="00451250"/>
    <w:rsid w:val="00451390"/>
    <w:rsid w:val="00451E79"/>
    <w:rsid w:val="00451EC3"/>
    <w:rsid w:val="004527AE"/>
    <w:rsid w:val="00452A58"/>
    <w:rsid w:val="004533DB"/>
    <w:rsid w:val="00453985"/>
    <w:rsid w:val="00453B5D"/>
    <w:rsid w:val="00454554"/>
    <w:rsid w:val="00454A4D"/>
    <w:rsid w:val="00454C92"/>
    <w:rsid w:val="004555AC"/>
    <w:rsid w:val="004557FB"/>
    <w:rsid w:val="00456227"/>
    <w:rsid w:val="004567F9"/>
    <w:rsid w:val="00456BA2"/>
    <w:rsid w:val="00456BC8"/>
    <w:rsid w:val="00460A6B"/>
    <w:rsid w:val="00460DAD"/>
    <w:rsid w:val="004613DE"/>
    <w:rsid w:val="00462640"/>
    <w:rsid w:val="00462690"/>
    <w:rsid w:val="00462BEF"/>
    <w:rsid w:val="00462F34"/>
    <w:rsid w:val="0046300D"/>
    <w:rsid w:val="00463464"/>
    <w:rsid w:val="00463B74"/>
    <w:rsid w:val="004648C9"/>
    <w:rsid w:val="004649B6"/>
    <w:rsid w:val="00464B47"/>
    <w:rsid w:val="004653F4"/>
    <w:rsid w:val="00465991"/>
    <w:rsid w:val="004659F6"/>
    <w:rsid w:val="00465BB1"/>
    <w:rsid w:val="00465DB3"/>
    <w:rsid w:val="00465F20"/>
    <w:rsid w:val="00466014"/>
    <w:rsid w:val="004661EB"/>
    <w:rsid w:val="0046657D"/>
    <w:rsid w:val="004667E9"/>
    <w:rsid w:val="00470269"/>
    <w:rsid w:val="00470B38"/>
    <w:rsid w:val="00470D5C"/>
    <w:rsid w:val="00471112"/>
    <w:rsid w:val="00471AD8"/>
    <w:rsid w:val="00471DB5"/>
    <w:rsid w:val="0047200B"/>
    <w:rsid w:val="0047208A"/>
    <w:rsid w:val="004721B1"/>
    <w:rsid w:val="0047231E"/>
    <w:rsid w:val="00472663"/>
    <w:rsid w:val="00472881"/>
    <w:rsid w:val="0047339E"/>
    <w:rsid w:val="00473486"/>
    <w:rsid w:val="0047354A"/>
    <w:rsid w:val="00473A1A"/>
    <w:rsid w:val="00473D4C"/>
    <w:rsid w:val="00474078"/>
    <w:rsid w:val="00474181"/>
    <w:rsid w:val="0047450C"/>
    <w:rsid w:val="004746A5"/>
    <w:rsid w:val="00474C6D"/>
    <w:rsid w:val="00475327"/>
    <w:rsid w:val="00475D82"/>
    <w:rsid w:val="00476124"/>
    <w:rsid w:val="004768F8"/>
    <w:rsid w:val="004769C5"/>
    <w:rsid w:val="00476E95"/>
    <w:rsid w:val="00476EDC"/>
    <w:rsid w:val="00477177"/>
    <w:rsid w:val="00477662"/>
    <w:rsid w:val="0047788C"/>
    <w:rsid w:val="00480A2C"/>
    <w:rsid w:val="00480F1A"/>
    <w:rsid w:val="004810FD"/>
    <w:rsid w:val="004812CE"/>
    <w:rsid w:val="00481E3C"/>
    <w:rsid w:val="0048218C"/>
    <w:rsid w:val="004821A1"/>
    <w:rsid w:val="004822C8"/>
    <w:rsid w:val="004823A2"/>
    <w:rsid w:val="0048240D"/>
    <w:rsid w:val="004824AC"/>
    <w:rsid w:val="0048270B"/>
    <w:rsid w:val="00483001"/>
    <w:rsid w:val="00483605"/>
    <w:rsid w:val="004838DE"/>
    <w:rsid w:val="00483A57"/>
    <w:rsid w:val="004843FD"/>
    <w:rsid w:val="004845DA"/>
    <w:rsid w:val="004856F8"/>
    <w:rsid w:val="0048583F"/>
    <w:rsid w:val="004859EC"/>
    <w:rsid w:val="004863AD"/>
    <w:rsid w:val="00486FAA"/>
    <w:rsid w:val="0048703B"/>
    <w:rsid w:val="00487760"/>
    <w:rsid w:val="00487FD1"/>
    <w:rsid w:val="004904DB"/>
    <w:rsid w:val="00490D69"/>
    <w:rsid w:val="0049126E"/>
    <w:rsid w:val="004914D9"/>
    <w:rsid w:val="00491B3E"/>
    <w:rsid w:val="00491FA8"/>
    <w:rsid w:val="00492A15"/>
    <w:rsid w:val="00493153"/>
    <w:rsid w:val="00493ED5"/>
    <w:rsid w:val="0049453B"/>
    <w:rsid w:val="004947BB"/>
    <w:rsid w:val="0049554E"/>
    <w:rsid w:val="00496A15"/>
    <w:rsid w:val="00497188"/>
    <w:rsid w:val="004973AC"/>
    <w:rsid w:val="00497794"/>
    <w:rsid w:val="00497D06"/>
    <w:rsid w:val="004A02FA"/>
    <w:rsid w:val="004A090D"/>
    <w:rsid w:val="004A0C9A"/>
    <w:rsid w:val="004A0DF8"/>
    <w:rsid w:val="004A0F5F"/>
    <w:rsid w:val="004A0FF9"/>
    <w:rsid w:val="004A1346"/>
    <w:rsid w:val="004A14D3"/>
    <w:rsid w:val="004A15F0"/>
    <w:rsid w:val="004A18DE"/>
    <w:rsid w:val="004A21E7"/>
    <w:rsid w:val="004A3BA5"/>
    <w:rsid w:val="004A45C2"/>
    <w:rsid w:val="004A45FA"/>
    <w:rsid w:val="004A48CF"/>
    <w:rsid w:val="004A4F21"/>
    <w:rsid w:val="004A50B5"/>
    <w:rsid w:val="004A51C7"/>
    <w:rsid w:val="004A5710"/>
    <w:rsid w:val="004A5BF1"/>
    <w:rsid w:val="004A5FE7"/>
    <w:rsid w:val="004A61BF"/>
    <w:rsid w:val="004A6B31"/>
    <w:rsid w:val="004A7050"/>
    <w:rsid w:val="004A75A3"/>
    <w:rsid w:val="004A7966"/>
    <w:rsid w:val="004A7B92"/>
    <w:rsid w:val="004B0CAF"/>
    <w:rsid w:val="004B1C9E"/>
    <w:rsid w:val="004B2059"/>
    <w:rsid w:val="004B213A"/>
    <w:rsid w:val="004B2141"/>
    <w:rsid w:val="004B2286"/>
    <w:rsid w:val="004B2BE2"/>
    <w:rsid w:val="004B2E91"/>
    <w:rsid w:val="004B3487"/>
    <w:rsid w:val="004B351F"/>
    <w:rsid w:val="004B3C0A"/>
    <w:rsid w:val="004B3CB9"/>
    <w:rsid w:val="004B49F3"/>
    <w:rsid w:val="004B4A81"/>
    <w:rsid w:val="004B517C"/>
    <w:rsid w:val="004B56D2"/>
    <w:rsid w:val="004B585D"/>
    <w:rsid w:val="004B5E0E"/>
    <w:rsid w:val="004B65F5"/>
    <w:rsid w:val="004B6827"/>
    <w:rsid w:val="004B6A1C"/>
    <w:rsid w:val="004B6A97"/>
    <w:rsid w:val="004B75D2"/>
    <w:rsid w:val="004C041B"/>
    <w:rsid w:val="004C0470"/>
    <w:rsid w:val="004C176A"/>
    <w:rsid w:val="004C1FF8"/>
    <w:rsid w:val="004C22A7"/>
    <w:rsid w:val="004C2DBF"/>
    <w:rsid w:val="004C2DF0"/>
    <w:rsid w:val="004C3F8A"/>
    <w:rsid w:val="004C45C7"/>
    <w:rsid w:val="004C47B9"/>
    <w:rsid w:val="004C487C"/>
    <w:rsid w:val="004C4D62"/>
    <w:rsid w:val="004C4DD0"/>
    <w:rsid w:val="004C5B7F"/>
    <w:rsid w:val="004C677D"/>
    <w:rsid w:val="004C6789"/>
    <w:rsid w:val="004C72D4"/>
    <w:rsid w:val="004C7574"/>
    <w:rsid w:val="004C79B7"/>
    <w:rsid w:val="004C7B0A"/>
    <w:rsid w:val="004C7F44"/>
    <w:rsid w:val="004D04B7"/>
    <w:rsid w:val="004D0EC7"/>
    <w:rsid w:val="004D109C"/>
    <w:rsid w:val="004D1140"/>
    <w:rsid w:val="004D1345"/>
    <w:rsid w:val="004D1564"/>
    <w:rsid w:val="004D1C19"/>
    <w:rsid w:val="004D25D3"/>
    <w:rsid w:val="004D3005"/>
    <w:rsid w:val="004D3C0E"/>
    <w:rsid w:val="004D3C1A"/>
    <w:rsid w:val="004D4199"/>
    <w:rsid w:val="004D4465"/>
    <w:rsid w:val="004D482A"/>
    <w:rsid w:val="004D4A8B"/>
    <w:rsid w:val="004D4B43"/>
    <w:rsid w:val="004D5337"/>
    <w:rsid w:val="004D53C9"/>
    <w:rsid w:val="004D5593"/>
    <w:rsid w:val="004D571B"/>
    <w:rsid w:val="004D5964"/>
    <w:rsid w:val="004D61F8"/>
    <w:rsid w:val="004D6204"/>
    <w:rsid w:val="004D6DDE"/>
    <w:rsid w:val="004D7077"/>
    <w:rsid w:val="004D71B4"/>
    <w:rsid w:val="004D74B6"/>
    <w:rsid w:val="004D76D0"/>
    <w:rsid w:val="004D7FB5"/>
    <w:rsid w:val="004E0277"/>
    <w:rsid w:val="004E0320"/>
    <w:rsid w:val="004E235D"/>
    <w:rsid w:val="004E2937"/>
    <w:rsid w:val="004E2941"/>
    <w:rsid w:val="004E2F4C"/>
    <w:rsid w:val="004E30A5"/>
    <w:rsid w:val="004E3184"/>
    <w:rsid w:val="004E3618"/>
    <w:rsid w:val="004E386F"/>
    <w:rsid w:val="004E4667"/>
    <w:rsid w:val="004E46AC"/>
    <w:rsid w:val="004E46D9"/>
    <w:rsid w:val="004E4735"/>
    <w:rsid w:val="004E4A1A"/>
    <w:rsid w:val="004E4BC2"/>
    <w:rsid w:val="004E521A"/>
    <w:rsid w:val="004E57CB"/>
    <w:rsid w:val="004E657E"/>
    <w:rsid w:val="004E6B7F"/>
    <w:rsid w:val="004E6DA8"/>
    <w:rsid w:val="004E7AA0"/>
    <w:rsid w:val="004F0142"/>
    <w:rsid w:val="004F0774"/>
    <w:rsid w:val="004F121D"/>
    <w:rsid w:val="004F161D"/>
    <w:rsid w:val="004F2254"/>
    <w:rsid w:val="004F265D"/>
    <w:rsid w:val="004F26D5"/>
    <w:rsid w:val="004F2792"/>
    <w:rsid w:val="004F2F64"/>
    <w:rsid w:val="004F30E9"/>
    <w:rsid w:val="004F310B"/>
    <w:rsid w:val="004F34DB"/>
    <w:rsid w:val="004F34FF"/>
    <w:rsid w:val="004F3796"/>
    <w:rsid w:val="004F3C4A"/>
    <w:rsid w:val="004F3FC2"/>
    <w:rsid w:val="004F52F9"/>
    <w:rsid w:val="004F5312"/>
    <w:rsid w:val="004F55ED"/>
    <w:rsid w:val="004F5911"/>
    <w:rsid w:val="004F5980"/>
    <w:rsid w:val="004F5A56"/>
    <w:rsid w:val="004F6591"/>
    <w:rsid w:val="004F66E4"/>
    <w:rsid w:val="004F6BD7"/>
    <w:rsid w:val="004F7004"/>
    <w:rsid w:val="004F79B6"/>
    <w:rsid w:val="005004F7"/>
    <w:rsid w:val="00500ACA"/>
    <w:rsid w:val="00500B51"/>
    <w:rsid w:val="005015EC"/>
    <w:rsid w:val="0050246A"/>
    <w:rsid w:val="005025C5"/>
    <w:rsid w:val="0050285D"/>
    <w:rsid w:val="00503A64"/>
    <w:rsid w:val="00503DC9"/>
    <w:rsid w:val="00504207"/>
    <w:rsid w:val="00504A39"/>
    <w:rsid w:val="00504CE1"/>
    <w:rsid w:val="00504D16"/>
    <w:rsid w:val="0050502F"/>
    <w:rsid w:val="00505360"/>
    <w:rsid w:val="00505F09"/>
    <w:rsid w:val="00507577"/>
    <w:rsid w:val="00507DED"/>
    <w:rsid w:val="00507FFD"/>
    <w:rsid w:val="005106C6"/>
    <w:rsid w:val="0051093F"/>
    <w:rsid w:val="00510C35"/>
    <w:rsid w:val="00510C4A"/>
    <w:rsid w:val="0051166D"/>
    <w:rsid w:val="00511A7B"/>
    <w:rsid w:val="00511CC8"/>
    <w:rsid w:val="00511F6F"/>
    <w:rsid w:val="00512C33"/>
    <w:rsid w:val="00512FB4"/>
    <w:rsid w:val="00512FE4"/>
    <w:rsid w:val="00513511"/>
    <w:rsid w:val="00513BF3"/>
    <w:rsid w:val="00513C3E"/>
    <w:rsid w:val="005146CB"/>
    <w:rsid w:val="00514E1B"/>
    <w:rsid w:val="00515DD9"/>
    <w:rsid w:val="00515FD8"/>
    <w:rsid w:val="00516217"/>
    <w:rsid w:val="00516AFD"/>
    <w:rsid w:val="00516DE7"/>
    <w:rsid w:val="00517419"/>
    <w:rsid w:val="00517CCE"/>
    <w:rsid w:val="00517DFF"/>
    <w:rsid w:val="00517E44"/>
    <w:rsid w:val="00517F73"/>
    <w:rsid w:val="0052037E"/>
    <w:rsid w:val="005206A1"/>
    <w:rsid w:val="00520F91"/>
    <w:rsid w:val="005212F2"/>
    <w:rsid w:val="00521424"/>
    <w:rsid w:val="0052176C"/>
    <w:rsid w:val="00521B13"/>
    <w:rsid w:val="00521BC1"/>
    <w:rsid w:val="00521BEE"/>
    <w:rsid w:val="00521F5B"/>
    <w:rsid w:val="0052217F"/>
    <w:rsid w:val="005223FA"/>
    <w:rsid w:val="005227C4"/>
    <w:rsid w:val="00522CB9"/>
    <w:rsid w:val="00522EBD"/>
    <w:rsid w:val="00523475"/>
    <w:rsid w:val="00523580"/>
    <w:rsid w:val="00523A0E"/>
    <w:rsid w:val="00523A38"/>
    <w:rsid w:val="00523AEC"/>
    <w:rsid w:val="005244CE"/>
    <w:rsid w:val="0052465F"/>
    <w:rsid w:val="0052482C"/>
    <w:rsid w:val="005249AB"/>
    <w:rsid w:val="00524F5C"/>
    <w:rsid w:val="00525692"/>
    <w:rsid w:val="00525B0B"/>
    <w:rsid w:val="005261E5"/>
    <w:rsid w:val="005263A6"/>
    <w:rsid w:val="00526472"/>
    <w:rsid w:val="00526C01"/>
    <w:rsid w:val="00527002"/>
    <w:rsid w:val="00527336"/>
    <w:rsid w:val="0052796E"/>
    <w:rsid w:val="00527CDC"/>
    <w:rsid w:val="00527E36"/>
    <w:rsid w:val="0053011F"/>
    <w:rsid w:val="005301DC"/>
    <w:rsid w:val="005302AE"/>
    <w:rsid w:val="00530449"/>
    <w:rsid w:val="00530556"/>
    <w:rsid w:val="00530562"/>
    <w:rsid w:val="00530A77"/>
    <w:rsid w:val="00530B0E"/>
    <w:rsid w:val="00531456"/>
    <w:rsid w:val="00531A2F"/>
    <w:rsid w:val="00532256"/>
    <w:rsid w:val="0053225C"/>
    <w:rsid w:val="00532740"/>
    <w:rsid w:val="005328B1"/>
    <w:rsid w:val="005334F5"/>
    <w:rsid w:val="00533AE8"/>
    <w:rsid w:val="0053429A"/>
    <w:rsid w:val="0053548A"/>
    <w:rsid w:val="005367AB"/>
    <w:rsid w:val="005369B1"/>
    <w:rsid w:val="00536A82"/>
    <w:rsid w:val="00536F40"/>
    <w:rsid w:val="005401E4"/>
    <w:rsid w:val="00540492"/>
    <w:rsid w:val="0054062F"/>
    <w:rsid w:val="005408F9"/>
    <w:rsid w:val="005409AB"/>
    <w:rsid w:val="00540A08"/>
    <w:rsid w:val="0054104C"/>
    <w:rsid w:val="0054130F"/>
    <w:rsid w:val="0054142F"/>
    <w:rsid w:val="00541676"/>
    <w:rsid w:val="00541BC1"/>
    <w:rsid w:val="00541C0D"/>
    <w:rsid w:val="005420F2"/>
    <w:rsid w:val="00542574"/>
    <w:rsid w:val="005435DE"/>
    <w:rsid w:val="005436AB"/>
    <w:rsid w:val="0054427B"/>
    <w:rsid w:val="0054450A"/>
    <w:rsid w:val="0054460D"/>
    <w:rsid w:val="005448F4"/>
    <w:rsid w:val="00544B0F"/>
    <w:rsid w:val="00545386"/>
    <w:rsid w:val="00545564"/>
    <w:rsid w:val="00545C0D"/>
    <w:rsid w:val="005460A3"/>
    <w:rsid w:val="00546DBF"/>
    <w:rsid w:val="00546F8D"/>
    <w:rsid w:val="0054737C"/>
    <w:rsid w:val="0054791C"/>
    <w:rsid w:val="00550EA5"/>
    <w:rsid w:val="00551091"/>
    <w:rsid w:val="00551CFB"/>
    <w:rsid w:val="005524DD"/>
    <w:rsid w:val="00552A8D"/>
    <w:rsid w:val="00552B88"/>
    <w:rsid w:val="00552CAB"/>
    <w:rsid w:val="0055355B"/>
    <w:rsid w:val="00553A1C"/>
    <w:rsid w:val="00553D76"/>
    <w:rsid w:val="00553EEF"/>
    <w:rsid w:val="005543B2"/>
    <w:rsid w:val="00554540"/>
    <w:rsid w:val="005545EC"/>
    <w:rsid w:val="005552B5"/>
    <w:rsid w:val="0055621C"/>
    <w:rsid w:val="00556296"/>
    <w:rsid w:val="0055633E"/>
    <w:rsid w:val="00556EF0"/>
    <w:rsid w:val="0055727A"/>
    <w:rsid w:val="0055736A"/>
    <w:rsid w:val="00557509"/>
    <w:rsid w:val="0056117B"/>
    <w:rsid w:val="005612FA"/>
    <w:rsid w:val="00561419"/>
    <w:rsid w:val="005618E0"/>
    <w:rsid w:val="00561A06"/>
    <w:rsid w:val="0056353D"/>
    <w:rsid w:val="00563E7B"/>
    <w:rsid w:val="00563F7F"/>
    <w:rsid w:val="00564087"/>
    <w:rsid w:val="00564459"/>
    <w:rsid w:val="0056447F"/>
    <w:rsid w:val="0056467A"/>
    <w:rsid w:val="0056478A"/>
    <w:rsid w:val="00564C0D"/>
    <w:rsid w:val="00564D53"/>
    <w:rsid w:val="0056555E"/>
    <w:rsid w:val="00565C16"/>
    <w:rsid w:val="00566861"/>
    <w:rsid w:val="005669EC"/>
    <w:rsid w:val="00566E9A"/>
    <w:rsid w:val="0056710E"/>
    <w:rsid w:val="005672A2"/>
    <w:rsid w:val="0056774E"/>
    <w:rsid w:val="00567ACB"/>
    <w:rsid w:val="00567CDE"/>
    <w:rsid w:val="00570C18"/>
    <w:rsid w:val="0057116B"/>
    <w:rsid w:val="00571365"/>
    <w:rsid w:val="005717D0"/>
    <w:rsid w:val="00572043"/>
    <w:rsid w:val="0057213B"/>
    <w:rsid w:val="00572E1E"/>
    <w:rsid w:val="00572F4D"/>
    <w:rsid w:val="005731CE"/>
    <w:rsid w:val="00573AEB"/>
    <w:rsid w:val="005743D6"/>
    <w:rsid w:val="00574B22"/>
    <w:rsid w:val="00574DC6"/>
    <w:rsid w:val="00574E28"/>
    <w:rsid w:val="00574E9E"/>
    <w:rsid w:val="00575959"/>
    <w:rsid w:val="00575963"/>
    <w:rsid w:val="00576189"/>
    <w:rsid w:val="0057735F"/>
    <w:rsid w:val="00577CBE"/>
    <w:rsid w:val="00577D27"/>
    <w:rsid w:val="00580267"/>
    <w:rsid w:val="005802E4"/>
    <w:rsid w:val="00580469"/>
    <w:rsid w:val="00580827"/>
    <w:rsid w:val="00580974"/>
    <w:rsid w:val="00580C8C"/>
    <w:rsid w:val="00580EED"/>
    <w:rsid w:val="00581501"/>
    <w:rsid w:val="00582400"/>
    <w:rsid w:val="00582709"/>
    <w:rsid w:val="00583572"/>
    <w:rsid w:val="00583FA7"/>
    <w:rsid w:val="00584C06"/>
    <w:rsid w:val="00585A4B"/>
    <w:rsid w:val="00585B5D"/>
    <w:rsid w:val="00586AA9"/>
    <w:rsid w:val="0058785B"/>
    <w:rsid w:val="00590467"/>
    <w:rsid w:val="00590740"/>
    <w:rsid w:val="00590C52"/>
    <w:rsid w:val="00590C5F"/>
    <w:rsid w:val="00590ECE"/>
    <w:rsid w:val="00591A37"/>
    <w:rsid w:val="00591EEA"/>
    <w:rsid w:val="00591F2B"/>
    <w:rsid w:val="0059200B"/>
    <w:rsid w:val="005922B8"/>
    <w:rsid w:val="00592496"/>
    <w:rsid w:val="00593CFC"/>
    <w:rsid w:val="00593F47"/>
    <w:rsid w:val="00594378"/>
    <w:rsid w:val="005947F2"/>
    <w:rsid w:val="00594C26"/>
    <w:rsid w:val="00594C4E"/>
    <w:rsid w:val="00594CEE"/>
    <w:rsid w:val="00594F83"/>
    <w:rsid w:val="00595E19"/>
    <w:rsid w:val="00596235"/>
    <w:rsid w:val="00596305"/>
    <w:rsid w:val="005964B6"/>
    <w:rsid w:val="005972C3"/>
    <w:rsid w:val="0059730B"/>
    <w:rsid w:val="00597400"/>
    <w:rsid w:val="005976C0"/>
    <w:rsid w:val="005A04E3"/>
    <w:rsid w:val="005A059A"/>
    <w:rsid w:val="005A0FE0"/>
    <w:rsid w:val="005A1117"/>
    <w:rsid w:val="005A26D3"/>
    <w:rsid w:val="005A28EF"/>
    <w:rsid w:val="005A3AFB"/>
    <w:rsid w:val="005A3D6E"/>
    <w:rsid w:val="005A413C"/>
    <w:rsid w:val="005A4DE2"/>
    <w:rsid w:val="005A4FA4"/>
    <w:rsid w:val="005A538F"/>
    <w:rsid w:val="005A5463"/>
    <w:rsid w:val="005A58BE"/>
    <w:rsid w:val="005A5902"/>
    <w:rsid w:val="005A7292"/>
    <w:rsid w:val="005A73E9"/>
    <w:rsid w:val="005A7FF8"/>
    <w:rsid w:val="005B0D9F"/>
    <w:rsid w:val="005B0F84"/>
    <w:rsid w:val="005B102F"/>
    <w:rsid w:val="005B13AE"/>
    <w:rsid w:val="005B1697"/>
    <w:rsid w:val="005B16D6"/>
    <w:rsid w:val="005B1DCF"/>
    <w:rsid w:val="005B23BB"/>
    <w:rsid w:val="005B2818"/>
    <w:rsid w:val="005B2F92"/>
    <w:rsid w:val="005B398D"/>
    <w:rsid w:val="005B3ADA"/>
    <w:rsid w:val="005B3CBA"/>
    <w:rsid w:val="005B3DB3"/>
    <w:rsid w:val="005B3F46"/>
    <w:rsid w:val="005B3F78"/>
    <w:rsid w:val="005B4589"/>
    <w:rsid w:val="005B480C"/>
    <w:rsid w:val="005B529E"/>
    <w:rsid w:val="005B52CA"/>
    <w:rsid w:val="005B550E"/>
    <w:rsid w:val="005B55F8"/>
    <w:rsid w:val="005B5BAB"/>
    <w:rsid w:val="005B5FD8"/>
    <w:rsid w:val="005B638F"/>
    <w:rsid w:val="005B679F"/>
    <w:rsid w:val="005B6E48"/>
    <w:rsid w:val="005B77CD"/>
    <w:rsid w:val="005B7DAE"/>
    <w:rsid w:val="005C015C"/>
    <w:rsid w:val="005C023B"/>
    <w:rsid w:val="005C23E6"/>
    <w:rsid w:val="005C242C"/>
    <w:rsid w:val="005C24B6"/>
    <w:rsid w:val="005C26F8"/>
    <w:rsid w:val="005C2C5D"/>
    <w:rsid w:val="005C3324"/>
    <w:rsid w:val="005C3A0B"/>
    <w:rsid w:val="005C3F26"/>
    <w:rsid w:val="005C4B40"/>
    <w:rsid w:val="005C53DC"/>
    <w:rsid w:val="005C5DE0"/>
    <w:rsid w:val="005C61A0"/>
    <w:rsid w:val="005C61F9"/>
    <w:rsid w:val="005C6B9F"/>
    <w:rsid w:val="005C6EFA"/>
    <w:rsid w:val="005C705D"/>
    <w:rsid w:val="005C71D5"/>
    <w:rsid w:val="005C7211"/>
    <w:rsid w:val="005C7A8E"/>
    <w:rsid w:val="005D108C"/>
    <w:rsid w:val="005D1366"/>
    <w:rsid w:val="005D23B0"/>
    <w:rsid w:val="005D2D59"/>
    <w:rsid w:val="005D37A9"/>
    <w:rsid w:val="005D3E40"/>
    <w:rsid w:val="005D3E63"/>
    <w:rsid w:val="005D3FC8"/>
    <w:rsid w:val="005D419A"/>
    <w:rsid w:val="005D4526"/>
    <w:rsid w:val="005D4EA3"/>
    <w:rsid w:val="005D4EE6"/>
    <w:rsid w:val="005D51C7"/>
    <w:rsid w:val="005D5A1D"/>
    <w:rsid w:val="005D5EE8"/>
    <w:rsid w:val="005D7552"/>
    <w:rsid w:val="005D7744"/>
    <w:rsid w:val="005D7E97"/>
    <w:rsid w:val="005D7F1C"/>
    <w:rsid w:val="005E01F3"/>
    <w:rsid w:val="005E0415"/>
    <w:rsid w:val="005E042A"/>
    <w:rsid w:val="005E0851"/>
    <w:rsid w:val="005E0E3B"/>
    <w:rsid w:val="005E1565"/>
    <w:rsid w:val="005E1712"/>
    <w:rsid w:val="005E1BB2"/>
    <w:rsid w:val="005E4133"/>
    <w:rsid w:val="005E464D"/>
    <w:rsid w:val="005E49FF"/>
    <w:rsid w:val="005E4B13"/>
    <w:rsid w:val="005E4EF2"/>
    <w:rsid w:val="005E507D"/>
    <w:rsid w:val="005E5300"/>
    <w:rsid w:val="005E53DD"/>
    <w:rsid w:val="005E6248"/>
    <w:rsid w:val="005E6515"/>
    <w:rsid w:val="005E6A21"/>
    <w:rsid w:val="005E738C"/>
    <w:rsid w:val="005E75C8"/>
    <w:rsid w:val="005E7D0B"/>
    <w:rsid w:val="005E7EEF"/>
    <w:rsid w:val="005F0CA1"/>
    <w:rsid w:val="005F1F0E"/>
    <w:rsid w:val="005F1FBD"/>
    <w:rsid w:val="005F254C"/>
    <w:rsid w:val="005F257D"/>
    <w:rsid w:val="005F2586"/>
    <w:rsid w:val="005F29D7"/>
    <w:rsid w:val="005F2CD8"/>
    <w:rsid w:val="005F2F06"/>
    <w:rsid w:val="005F36AB"/>
    <w:rsid w:val="005F3811"/>
    <w:rsid w:val="005F3A27"/>
    <w:rsid w:val="005F50B5"/>
    <w:rsid w:val="005F5BFF"/>
    <w:rsid w:val="005F5C5E"/>
    <w:rsid w:val="005F5E84"/>
    <w:rsid w:val="005F6998"/>
    <w:rsid w:val="005F6C31"/>
    <w:rsid w:val="005F7A4F"/>
    <w:rsid w:val="005F7C58"/>
    <w:rsid w:val="0060043E"/>
    <w:rsid w:val="00600BE7"/>
    <w:rsid w:val="00600EE7"/>
    <w:rsid w:val="0060145F"/>
    <w:rsid w:val="00601E17"/>
    <w:rsid w:val="006023BA"/>
    <w:rsid w:val="00602FC6"/>
    <w:rsid w:val="0060309C"/>
    <w:rsid w:val="006032BC"/>
    <w:rsid w:val="006035DD"/>
    <w:rsid w:val="0060377C"/>
    <w:rsid w:val="00603854"/>
    <w:rsid w:val="00603C4B"/>
    <w:rsid w:val="00603E04"/>
    <w:rsid w:val="00604927"/>
    <w:rsid w:val="00605656"/>
    <w:rsid w:val="00605C9A"/>
    <w:rsid w:val="00605DF3"/>
    <w:rsid w:val="00605FF1"/>
    <w:rsid w:val="006066F6"/>
    <w:rsid w:val="00606C6A"/>
    <w:rsid w:val="00607900"/>
    <w:rsid w:val="00611762"/>
    <w:rsid w:val="00611E80"/>
    <w:rsid w:val="00611FC4"/>
    <w:rsid w:val="0061300C"/>
    <w:rsid w:val="006134AA"/>
    <w:rsid w:val="00613721"/>
    <w:rsid w:val="00613A22"/>
    <w:rsid w:val="00613B45"/>
    <w:rsid w:val="00613B5B"/>
    <w:rsid w:val="00613E0E"/>
    <w:rsid w:val="00613E46"/>
    <w:rsid w:val="00613E79"/>
    <w:rsid w:val="00614384"/>
    <w:rsid w:val="00614BF3"/>
    <w:rsid w:val="00614DFA"/>
    <w:rsid w:val="006155F6"/>
    <w:rsid w:val="00615BC4"/>
    <w:rsid w:val="006164A9"/>
    <w:rsid w:val="00616894"/>
    <w:rsid w:val="00616DC2"/>
    <w:rsid w:val="006176FB"/>
    <w:rsid w:val="006205B5"/>
    <w:rsid w:val="00620746"/>
    <w:rsid w:val="006207F2"/>
    <w:rsid w:val="0062084D"/>
    <w:rsid w:val="00620AE1"/>
    <w:rsid w:val="006219CF"/>
    <w:rsid w:val="00621A23"/>
    <w:rsid w:val="00621A71"/>
    <w:rsid w:val="00621C64"/>
    <w:rsid w:val="00621FB1"/>
    <w:rsid w:val="00623353"/>
    <w:rsid w:val="00624079"/>
    <w:rsid w:val="006244BD"/>
    <w:rsid w:val="00624786"/>
    <w:rsid w:val="00624841"/>
    <w:rsid w:val="00624BA8"/>
    <w:rsid w:val="0062521D"/>
    <w:rsid w:val="00625355"/>
    <w:rsid w:val="00625B16"/>
    <w:rsid w:val="0062637E"/>
    <w:rsid w:val="0062653F"/>
    <w:rsid w:val="00627250"/>
    <w:rsid w:val="00627B60"/>
    <w:rsid w:val="00627EBB"/>
    <w:rsid w:val="00627EE2"/>
    <w:rsid w:val="00630257"/>
    <w:rsid w:val="006308A3"/>
    <w:rsid w:val="00630A76"/>
    <w:rsid w:val="00630D0C"/>
    <w:rsid w:val="00630DDD"/>
    <w:rsid w:val="0063143A"/>
    <w:rsid w:val="00631547"/>
    <w:rsid w:val="00631B70"/>
    <w:rsid w:val="00631E6D"/>
    <w:rsid w:val="006325D5"/>
    <w:rsid w:val="00632741"/>
    <w:rsid w:val="00632A2E"/>
    <w:rsid w:val="00632A55"/>
    <w:rsid w:val="00632C5F"/>
    <w:rsid w:val="006330CB"/>
    <w:rsid w:val="0063439A"/>
    <w:rsid w:val="006356AB"/>
    <w:rsid w:val="00635CC2"/>
    <w:rsid w:val="006362DD"/>
    <w:rsid w:val="0064023C"/>
    <w:rsid w:val="0064052A"/>
    <w:rsid w:val="00640A6B"/>
    <w:rsid w:val="00640B26"/>
    <w:rsid w:val="00641D94"/>
    <w:rsid w:val="00642804"/>
    <w:rsid w:val="00642883"/>
    <w:rsid w:val="00642B79"/>
    <w:rsid w:val="00642BC1"/>
    <w:rsid w:val="006430EF"/>
    <w:rsid w:val="00643112"/>
    <w:rsid w:val="0064311F"/>
    <w:rsid w:val="0064349D"/>
    <w:rsid w:val="00643F48"/>
    <w:rsid w:val="006440F7"/>
    <w:rsid w:val="006441F9"/>
    <w:rsid w:val="0064420F"/>
    <w:rsid w:val="00644E0E"/>
    <w:rsid w:val="00644E4C"/>
    <w:rsid w:val="00645421"/>
    <w:rsid w:val="006454DA"/>
    <w:rsid w:val="006455FB"/>
    <w:rsid w:val="00645931"/>
    <w:rsid w:val="0064635E"/>
    <w:rsid w:val="006464F4"/>
    <w:rsid w:val="006468C2"/>
    <w:rsid w:val="00646A88"/>
    <w:rsid w:val="00647DF5"/>
    <w:rsid w:val="006501E2"/>
    <w:rsid w:val="006503B9"/>
    <w:rsid w:val="00650433"/>
    <w:rsid w:val="006507FA"/>
    <w:rsid w:val="00650AB8"/>
    <w:rsid w:val="00650F69"/>
    <w:rsid w:val="00651E4F"/>
    <w:rsid w:val="00652082"/>
    <w:rsid w:val="00652506"/>
    <w:rsid w:val="006525D4"/>
    <w:rsid w:val="00652653"/>
    <w:rsid w:val="00652B7D"/>
    <w:rsid w:val="00654A43"/>
    <w:rsid w:val="00655789"/>
    <w:rsid w:val="006558CD"/>
    <w:rsid w:val="00655CB9"/>
    <w:rsid w:val="00655CCA"/>
    <w:rsid w:val="00655E46"/>
    <w:rsid w:val="00656AB3"/>
    <w:rsid w:val="00656FAD"/>
    <w:rsid w:val="006575AE"/>
    <w:rsid w:val="00657835"/>
    <w:rsid w:val="00660CE2"/>
    <w:rsid w:val="006610DB"/>
    <w:rsid w:val="006620B2"/>
    <w:rsid w:val="00662A23"/>
    <w:rsid w:val="00662D72"/>
    <w:rsid w:val="006630DF"/>
    <w:rsid w:val="006637EA"/>
    <w:rsid w:val="0066383B"/>
    <w:rsid w:val="00664562"/>
    <w:rsid w:val="00664890"/>
    <w:rsid w:val="00664978"/>
    <w:rsid w:val="006652E8"/>
    <w:rsid w:val="0066597A"/>
    <w:rsid w:val="00665B3B"/>
    <w:rsid w:val="00665C9D"/>
    <w:rsid w:val="00665D47"/>
    <w:rsid w:val="00666104"/>
    <w:rsid w:val="00666486"/>
    <w:rsid w:val="006668A9"/>
    <w:rsid w:val="006668BD"/>
    <w:rsid w:val="00666C27"/>
    <w:rsid w:val="00666C29"/>
    <w:rsid w:val="00667582"/>
    <w:rsid w:val="00667789"/>
    <w:rsid w:val="0066791E"/>
    <w:rsid w:val="00667E1F"/>
    <w:rsid w:val="00667E75"/>
    <w:rsid w:val="00667F52"/>
    <w:rsid w:val="0067017B"/>
    <w:rsid w:val="0067065F"/>
    <w:rsid w:val="00670741"/>
    <w:rsid w:val="00670D0C"/>
    <w:rsid w:val="00670F8B"/>
    <w:rsid w:val="006710B2"/>
    <w:rsid w:val="00671180"/>
    <w:rsid w:val="00671271"/>
    <w:rsid w:val="0067128B"/>
    <w:rsid w:val="00671F77"/>
    <w:rsid w:val="00671FAA"/>
    <w:rsid w:val="00672328"/>
    <w:rsid w:val="00672B6C"/>
    <w:rsid w:val="00672EBA"/>
    <w:rsid w:val="0067320F"/>
    <w:rsid w:val="00674311"/>
    <w:rsid w:val="00674992"/>
    <w:rsid w:val="00675ADE"/>
    <w:rsid w:val="00675E2E"/>
    <w:rsid w:val="00676321"/>
    <w:rsid w:val="0067638F"/>
    <w:rsid w:val="00676FAC"/>
    <w:rsid w:val="00677C20"/>
    <w:rsid w:val="00677C27"/>
    <w:rsid w:val="0068175C"/>
    <w:rsid w:val="00681C55"/>
    <w:rsid w:val="006826BE"/>
    <w:rsid w:val="00682884"/>
    <w:rsid w:val="00682958"/>
    <w:rsid w:val="00682F45"/>
    <w:rsid w:val="00682F86"/>
    <w:rsid w:val="00684498"/>
    <w:rsid w:val="006848A8"/>
    <w:rsid w:val="00685311"/>
    <w:rsid w:val="00685CEA"/>
    <w:rsid w:val="00685F9E"/>
    <w:rsid w:val="00686209"/>
    <w:rsid w:val="0068654E"/>
    <w:rsid w:val="006866F0"/>
    <w:rsid w:val="00686EB4"/>
    <w:rsid w:val="00687318"/>
    <w:rsid w:val="00687BE2"/>
    <w:rsid w:val="00687DA7"/>
    <w:rsid w:val="00690016"/>
    <w:rsid w:val="00690040"/>
    <w:rsid w:val="006901FA"/>
    <w:rsid w:val="006903E5"/>
    <w:rsid w:val="00690C58"/>
    <w:rsid w:val="00691521"/>
    <w:rsid w:val="00691628"/>
    <w:rsid w:val="00692278"/>
    <w:rsid w:val="006923E6"/>
    <w:rsid w:val="00692B34"/>
    <w:rsid w:val="00692E81"/>
    <w:rsid w:val="00693451"/>
    <w:rsid w:val="006938C0"/>
    <w:rsid w:val="00694118"/>
    <w:rsid w:val="0069490B"/>
    <w:rsid w:val="00694D54"/>
    <w:rsid w:val="00694D58"/>
    <w:rsid w:val="00694E7D"/>
    <w:rsid w:val="00695F03"/>
    <w:rsid w:val="00696104"/>
    <w:rsid w:val="00696293"/>
    <w:rsid w:val="00696924"/>
    <w:rsid w:val="006969B3"/>
    <w:rsid w:val="00696BD6"/>
    <w:rsid w:val="00696CC7"/>
    <w:rsid w:val="00696F14"/>
    <w:rsid w:val="00697896"/>
    <w:rsid w:val="006979EE"/>
    <w:rsid w:val="00697AC2"/>
    <w:rsid w:val="00697CC4"/>
    <w:rsid w:val="006A077F"/>
    <w:rsid w:val="006A106A"/>
    <w:rsid w:val="006A1251"/>
    <w:rsid w:val="006A18FC"/>
    <w:rsid w:val="006A1E48"/>
    <w:rsid w:val="006A295E"/>
    <w:rsid w:val="006A39B6"/>
    <w:rsid w:val="006A3C0B"/>
    <w:rsid w:val="006A4E8A"/>
    <w:rsid w:val="006A55E2"/>
    <w:rsid w:val="006A5FF6"/>
    <w:rsid w:val="006A63E1"/>
    <w:rsid w:val="006A6B9D"/>
    <w:rsid w:val="006A6D1A"/>
    <w:rsid w:val="006A7236"/>
    <w:rsid w:val="006A7392"/>
    <w:rsid w:val="006A7560"/>
    <w:rsid w:val="006A79E8"/>
    <w:rsid w:val="006A7C90"/>
    <w:rsid w:val="006A7FF6"/>
    <w:rsid w:val="006B03FA"/>
    <w:rsid w:val="006B06C3"/>
    <w:rsid w:val="006B123C"/>
    <w:rsid w:val="006B1863"/>
    <w:rsid w:val="006B1C34"/>
    <w:rsid w:val="006B1CFF"/>
    <w:rsid w:val="006B250A"/>
    <w:rsid w:val="006B276F"/>
    <w:rsid w:val="006B2C79"/>
    <w:rsid w:val="006B2FAB"/>
    <w:rsid w:val="006B3189"/>
    <w:rsid w:val="006B39B8"/>
    <w:rsid w:val="006B3EBF"/>
    <w:rsid w:val="006B5062"/>
    <w:rsid w:val="006B5B85"/>
    <w:rsid w:val="006B604C"/>
    <w:rsid w:val="006B680C"/>
    <w:rsid w:val="006B6947"/>
    <w:rsid w:val="006B7374"/>
    <w:rsid w:val="006B77EC"/>
    <w:rsid w:val="006B7D65"/>
    <w:rsid w:val="006B7D73"/>
    <w:rsid w:val="006C02E1"/>
    <w:rsid w:val="006C046E"/>
    <w:rsid w:val="006C0C07"/>
    <w:rsid w:val="006C0E57"/>
    <w:rsid w:val="006C1AE8"/>
    <w:rsid w:val="006C28E3"/>
    <w:rsid w:val="006C2B02"/>
    <w:rsid w:val="006C4115"/>
    <w:rsid w:val="006C41D7"/>
    <w:rsid w:val="006C422F"/>
    <w:rsid w:val="006C4900"/>
    <w:rsid w:val="006C4DD5"/>
    <w:rsid w:val="006C55A3"/>
    <w:rsid w:val="006C5956"/>
    <w:rsid w:val="006C5CE1"/>
    <w:rsid w:val="006C5E99"/>
    <w:rsid w:val="006C66E0"/>
    <w:rsid w:val="006C6E4D"/>
    <w:rsid w:val="006C6E6D"/>
    <w:rsid w:val="006C6F2C"/>
    <w:rsid w:val="006C6FBF"/>
    <w:rsid w:val="006D01B3"/>
    <w:rsid w:val="006D0320"/>
    <w:rsid w:val="006D0CB9"/>
    <w:rsid w:val="006D0CF4"/>
    <w:rsid w:val="006D1074"/>
    <w:rsid w:val="006D2A88"/>
    <w:rsid w:val="006D2E8F"/>
    <w:rsid w:val="006D32D2"/>
    <w:rsid w:val="006D384E"/>
    <w:rsid w:val="006D3B00"/>
    <w:rsid w:val="006D3C03"/>
    <w:rsid w:val="006D3E82"/>
    <w:rsid w:val="006D4765"/>
    <w:rsid w:val="006D50C7"/>
    <w:rsid w:val="006D53A4"/>
    <w:rsid w:val="006D6214"/>
    <w:rsid w:val="006D68FB"/>
    <w:rsid w:val="006D6DA6"/>
    <w:rsid w:val="006D6EF2"/>
    <w:rsid w:val="006D6F5B"/>
    <w:rsid w:val="006D72FE"/>
    <w:rsid w:val="006D75E4"/>
    <w:rsid w:val="006D793C"/>
    <w:rsid w:val="006D7AD1"/>
    <w:rsid w:val="006E015B"/>
    <w:rsid w:val="006E0172"/>
    <w:rsid w:val="006E0A3D"/>
    <w:rsid w:val="006E0F0A"/>
    <w:rsid w:val="006E0FD9"/>
    <w:rsid w:val="006E1309"/>
    <w:rsid w:val="006E1A47"/>
    <w:rsid w:val="006E2871"/>
    <w:rsid w:val="006E31BA"/>
    <w:rsid w:val="006E31F0"/>
    <w:rsid w:val="006E31F3"/>
    <w:rsid w:val="006E37FE"/>
    <w:rsid w:val="006E3CD2"/>
    <w:rsid w:val="006E4A6D"/>
    <w:rsid w:val="006E4C09"/>
    <w:rsid w:val="006E5320"/>
    <w:rsid w:val="006E564B"/>
    <w:rsid w:val="006E5C91"/>
    <w:rsid w:val="006E5E92"/>
    <w:rsid w:val="006E68A7"/>
    <w:rsid w:val="006E71A6"/>
    <w:rsid w:val="006E7CBC"/>
    <w:rsid w:val="006F0008"/>
    <w:rsid w:val="006F0060"/>
    <w:rsid w:val="006F1147"/>
    <w:rsid w:val="006F13F0"/>
    <w:rsid w:val="006F1965"/>
    <w:rsid w:val="006F23A5"/>
    <w:rsid w:val="006F24FD"/>
    <w:rsid w:val="006F2B2B"/>
    <w:rsid w:val="006F2D40"/>
    <w:rsid w:val="006F30B9"/>
    <w:rsid w:val="006F34A3"/>
    <w:rsid w:val="006F5035"/>
    <w:rsid w:val="006F5E35"/>
    <w:rsid w:val="006F6ACF"/>
    <w:rsid w:val="006F77AE"/>
    <w:rsid w:val="006F7EBC"/>
    <w:rsid w:val="007003BF"/>
    <w:rsid w:val="00700EA3"/>
    <w:rsid w:val="0070155F"/>
    <w:rsid w:val="0070214A"/>
    <w:rsid w:val="007023B2"/>
    <w:rsid w:val="00703080"/>
    <w:rsid w:val="007031B6"/>
    <w:rsid w:val="0070331D"/>
    <w:rsid w:val="007033A8"/>
    <w:rsid w:val="00703C7C"/>
    <w:rsid w:val="0070452D"/>
    <w:rsid w:val="00704A2F"/>
    <w:rsid w:val="00704A7E"/>
    <w:rsid w:val="007057CF"/>
    <w:rsid w:val="00706169"/>
    <w:rsid w:val="007065EB"/>
    <w:rsid w:val="007066E9"/>
    <w:rsid w:val="00706F92"/>
    <w:rsid w:val="00706FAC"/>
    <w:rsid w:val="007072FA"/>
    <w:rsid w:val="00707454"/>
    <w:rsid w:val="00707775"/>
    <w:rsid w:val="00707BB1"/>
    <w:rsid w:val="00707FA3"/>
    <w:rsid w:val="00710088"/>
    <w:rsid w:val="007101E2"/>
    <w:rsid w:val="00710218"/>
    <w:rsid w:val="0071049F"/>
    <w:rsid w:val="00710646"/>
    <w:rsid w:val="007107B7"/>
    <w:rsid w:val="00710A8D"/>
    <w:rsid w:val="00710D0C"/>
    <w:rsid w:val="007112E2"/>
    <w:rsid w:val="00711D98"/>
    <w:rsid w:val="00711E0D"/>
    <w:rsid w:val="00711FB1"/>
    <w:rsid w:val="00712D7D"/>
    <w:rsid w:val="007133B9"/>
    <w:rsid w:val="007134FB"/>
    <w:rsid w:val="00714D02"/>
    <w:rsid w:val="007153A8"/>
    <w:rsid w:val="00715B65"/>
    <w:rsid w:val="007162DD"/>
    <w:rsid w:val="00716A41"/>
    <w:rsid w:val="00716B36"/>
    <w:rsid w:val="00716ECF"/>
    <w:rsid w:val="00716F29"/>
    <w:rsid w:val="007170D0"/>
    <w:rsid w:val="0071742C"/>
    <w:rsid w:val="00720183"/>
    <w:rsid w:val="00720C01"/>
    <w:rsid w:val="00720CC3"/>
    <w:rsid w:val="00721413"/>
    <w:rsid w:val="007215EB"/>
    <w:rsid w:val="00721ABE"/>
    <w:rsid w:val="00721BF2"/>
    <w:rsid w:val="00721D6A"/>
    <w:rsid w:val="00722A41"/>
    <w:rsid w:val="00722A60"/>
    <w:rsid w:val="00722B78"/>
    <w:rsid w:val="007234BD"/>
    <w:rsid w:val="00723A1B"/>
    <w:rsid w:val="00723CC5"/>
    <w:rsid w:val="007240EB"/>
    <w:rsid w:val="00724745"/>
    <w:rsid w:val="00724827"/>
    <w:rsid w:val="00724D3B"/>
    <w:rsid w:val="00724D8F"/>
    <w:rsid w:val="007255AB"/>
    <w:rsid w:val="00725AB5"/>
    <w:rsid w:val="0072632A"/>
    <w:rsid w:val="007267FB"/>
    <w:rsid w:val="007273ED"/>
    <w:rsid w:val="00727C35"/>
    <w:rsid w:val="007302A2"/>
    <w:rsid w:val="0073045A"/>
    <w:rsid w:val="007309E5"/>
    <w:rsid w:val="00731DDB"/>
    <w:rsid w:val="00732E36"/>
    <w:rsid w:val="00732ECC"/>
    <w:rsid w:val="00733251"/>
    <w:rsid w:val="00734343"/>
    <w:rsid w:val="007346AD"/>
    <w:rsid w:val="0073556F"/>
    <w:rsid w:val="00735578"/>
    <w:rsid w:val="00735815"/>
    <w:rsid w:val="00735E5A"/>
    <w:rsid w:val="00735ED1"/>
    <w:rsid w:val="0073612D"/>
    <w:rsid w:val="007363AD"/>
    <w:rsid w:val="007365C5"/>
    <w:rsid w:val="00736626"/>
    <w:rsid w:val="00736F0D"/>
    <w:rsid w:val="00737158"/>
    <w:rsid w:val="00737369"/>
    <w:rsid w:val="007374A0"/>
    <w:rsid w:val="00740288"/>
    <w:rsid w:val="00740630"/>
    <w:rsid w:val="00740DEB"/>
    <w:rsid w:val="007411D6"/>
    <w:rsid w:val="007412FD"/>
    <w:rsid w:val="00741562"/>
    <w:rsid w:val="007415E4"/>
    <w:rsid w:val="00741708"/>
    <w:rsid w:val="00741D0D"/>
    <w:rsid w:val="00741E5C"/>
    <w:rsid w:val="0074200B"/>
    <w:rsid w:val="0074265A"/>
    <w:rsid w:val="0074265B"/>
    <w:rsid w:val="00743D58"/>
    <w:rsid w:val="0074437D"/>
    <w:rsid w:val="00744E64"/>
    <w:rsid w:val="007451E4"/>
    <w:rsid w:val="0074555F"/>
    <w:rsid w:val="00746E49"/>
    <w:rsid w:val="00747B2B"/>
    <w:rsid w:val="00747F2E"/>
    <w:rsid w:val="0075025C"/>
    <w:rsid w:val="007507F7"/>
    <w:rsid w:val="00750832"/>
    <w:rsid w:val="00750D9F"/>
    <w:rsid w:val="00750EAE"/>
    <w:rsid w:val="0075108C"/>
    <w:rsid w:val="0075163B"/>
    <w:rsid w:val="00751816"/>
    <w:rsid w:val="00751970"/>
    <w:rsid w:val="00751A7B"/>
    <w:rsid w:val="00751D0B"/>
    <w:rsid w:val="00751DB3"/>
    <w:rsid w:val="00752C68"/>
    <w:rsid w:val="007538C2"/>
    <w:rsid w:val="00754660"/>
    <w:rsid w:val="00754837"/>
    <w:rsid w:val="00754CD6"/>
    <w:rsid w:val="00754CE0"/>
    <w:rsid w:val="00754D9E"/>
    <w:rsid w:val="00754E5E"/>
    <w:rsid w:val="007550DF"/>
    <w:rsid w:val="00756172"/>
    <w:rsid w:val="00756287"/>
    <w:rsid w:val="007563A9"/>
    <w:rsid w:val="00756BB7"/>
    <w:rsid w:val="00756D9D"/>
    <w:rsid w:val="007608E5"/>
    <w:rsid w:val="0076098C"/>
    <w:rsid w:val="00761ACF"/>
    <w:rsid w:val="00761E07"/>
    <w:rsid w:val="007625AA"/>
    <w:rsid w:val="00762B4F"/>
    <w:rsid w:val="0076342C"/>
    <w:rsid w:val="007647B1"/>
    <w:rsid w:val="007650E8"/>
    <w:rsid w:val="007652F9"/>
    <w:rsid w:val="00765ED0"/>
    <w:rsid w:val="00766479"/>
    <w:rsid w:val="00766641"/>
    <w:rsid w:val="00766D71"/>
    <w:rsid w:val="00766F15"/>
    <w:rsid w:val="00766F2D"/>
    <w:rsid w:val="00767B16"/>
    <w:rsid w:val="00767E14"/>
    <w:rsid w:val="00770BEE"/>
    <w:rsid w:val="00770DCF"/>
    <w:rsid w:val="007714FC"/>
    <w:rsid w:val="007718D9"/>
    <w:rsid w:val="00771A13"/>
    <w:rsid w:val="00771B9D"/>
    <w:rsid w:val="00771DDC"/>
    <w:rsid w:val="00772279"/>
    <w:rsid w:val="00772635"/>
    <w:rsid w:val="0077278D"/>
    <w:rsid w:val="00772C0F"/>
    <w:rsid w:val="00773487"/>
    <w:rsid w:val="00773B8E"/>
    <w:rsid w:val="00774DCF"/>
    <w:rsid w:val="00775198"/>
    <w:rsid w:val="007757B0"/>
    <w:rsid w:val="00775D61"/>
    <w:rsid w:val="0077656D"/>
    <w:rsid w:val="00776642"/>
    <w:rsid w:val="007773C1"/>
    <w:rsid w:val="0077795C"/>
    <w:rsid w:val="007779C9"/>
    <w:rsid w:val="0078092C"/>
    <w:rsid w:val="00780C09"/>
    <w:rsid w:val="0078160B"/>
    <w:rsid w:val="007816BA"/>
    <w:rsid w:val="007817C4"/>
    <w:rsid w:val="0078236D"/>
    <w:rsid w:val="00782FDB"/>
    <w:rsid w:val="007834EA"/>
    <w:rsid w:val="00783B03"/>
    <w:rsid w:val="00784792"/>
    <w:rsid w:val="00784F95"/>
    <w:rsid w:val="0078526F"/>
    <w:rsid w:val="007856F0"/>
    <w:rsid w:val="00785DA8"/>
    <w:rsid w:val="00785F07"/>
    <w:rsid w:val="00786068"/>
    <w:rsid w:val="007861C3"/>
    <w:rsid w:val="007865A9"/>
    <w:rsid w:val="00786782"/>
    <w:rsid w:val="007867BF"/>
    <w:rsid w:val="0078732A"/>
    <w:rsid w:val="00787A86"/>
    <w:rsid w:val="00787D8F"/>
    <w:rsid w:val="00787E9E"/>
    <w:rsid w:val="00790CC5"/>
    <w:rsid w:val="0079101C"/>
    <w:rsid w:val="00791BCD"/>
    <w:rsid w:val="00791D64"/>
    <w:rsid w:val="007920D4"/>
    <w:rsid w:val="00792716"/>
    <w:rsid w:val="00792A7A"/>
    <w:rsid w:val="00792CA9"/>
    <w:rsid w:val="00792CFE"/>
    <w:rsid w:val="00792EEF"/>
    <w:rsid w:val="007937B1"/>
    <w:rsid w:val="00793891"/>
    <w:rsid w:val="00794CDE"/>
    <w:rsid w:val="007950CE"/>
    <w:rsid w:val="00795681"/>
    <w:rsid w:val="0079569C"/>
    <w:rsid w:val="00795B3A"/>
    <w:rsid w:val="007967D1"/>
    <w:rsid w:val="00796D76"/>
    <w:rsid w:val="0079763C"/>
    <w:rsid w:val="007A0108"/>
    <w:rsid w:val="007A02DB"/>
    <w:rsid w:val="007A098F"/>
    <w:rsid w:val="007A1117"/>
    <w:rsid w:val="007A119B"/>
    <w:rsid w:val="007A1C69"/>
    <w:rsid w:val="007A1F93"/>
    <w:rsid w:val="007A20A0"/>
    <w:rsid w:val="007A212D"/>
    <w:rsid w:val="007A2313"/>
    <w:rsid w:val="007A29BC"/>
    <w:rsid w:val="007A32E0"/>
    <w:rsid w:val="007A334C"/>
    <w:rsid w:val="007A389D"/>
    <w:rsid w:val="007A39C1"/>
    <w:rsid w:val="007A433A"/>
    <w:rsid w:val="007A48FE"/>
    <w:rsid w:val="007A4AE6"/>
    <w:rsid w:val="007A4D32"/>
    <w:rsid w:val="007A5D5E"/>
    <w:rsid w:val="007A5F4B"/>
    <w:rsid w:val="007A60D8"/>
    <w:rsid w:val="007A6105"/>
    <w:rsid w:val="007A6296"/>
    <w:rsid w:val="007A6379"/>
    <w:rsid w:val="007A7884"/>
    <w:rsid w:val="007A7A7D"/>
    <w:rsid w:val="007B0EB7"/>
    <w:rsid w:val="007B115A"/>
    <w:rsid w:val="007B1EE0"/>
    <w:rsid w:val="007B20D6"/>
    <w:rsid w:val="007B28AD"/>
    <w:rsid w:val="007B2CA1"/>
    <w:rsid w:val="007B2DB4"/>
    <w:rsid w:val="007B31E0"/>
    <w:rsid w:val="007B3869"/>
    <w:rsid w:val="007B3B59"/>
    <w:rsid w:val="007B4537"/>
    <w:rsid w:val="007B4593"/>
    <w:rsid w:val="007B594A"/>
    <w:rsid w:val="007B665B"/>
    <w:rsid w:val="007B6BA5"/>
    <w:rsid w:val="007B6C3E"/>
    <w:rsid w:val="007B6DD1"/>
    <w:rsid w:val="007B6E7A"/>
    <w:rsid w:val="007B6F45"/>
    <w:rsid w:val="007B7229"/>
    <w:rsid w:val="007B7344"/>
    <w:rsid w:val="007B76BA"/>
    <w:rsid w:val="007B7874"/>
    <w:rsid w:val="007B7AF9"/>
    <w:rsid w:val="007C0AF2"/>
    <w:rsid w:val="007C0F59"/>
    <w:rsid w:val="007C1058"/>
    <w:rsid w:val="007C110E"/>
    <w:rsid w:val="007C1666"/>
    <w:rsid w:val="007C1742"/>
    <w:rsid w:val="007C1747"/>
    <w:rsid w:val="007C1B62"/>
    <w:rsid w:val="007C1BB8"/>
    <w:rsid w:val="007C1F1E"/>
    <w:rsid w:val="007C2867"/>
    <w:rsid w:val="007C3390"/>
    <w:rsid w:val="007C4AF6"/>
    <w:rsid w:val="007C4F4B"/>
    <w:rsid w:val="007C5159"/>
    <w:rsid w:val="007C550F"/>
    <w:rsid w:val="007C587A"/>
    <w:rsid w:val="007C58FF"/>
    <w:rsid w:val="007C60F3"/>
    <w:rsid w:val="007C635D"/>
    <w:rsid w:val="007C6587"/>
    <w:rsid w:val="007C6B24"/>
    <w:rsid w:val="007C72E4"/>
    <w:rsid w:val="007C762F"/>
    <w:rsid w:val="007C76CE"/>
    <w:rsid w:val="007D04D2"/>
    <w:rsid w:val="007D099A"/>
    <w:rsid w:val="007D0B7E"/>
    <w:rsid w:val="007D0C1E"/>
    <w:rsid w:val="007D2232"/>
    <w:rsid w:val="007D2CDC"/>
    <w:rsid w:val="007D2F01"/>
    <w:rsid w:val="007D3895"/>
    <w:rsid w:val="007D3E64"/>
    <w:rsid w:val="007D405F"/>
    <w:rsid w:val="007D417F"/>
    <w:rsid w:val="007D41AB"/>
    <w:rsid w:val="007D48BC"/>
    <w:rsid w:val="007D4F00"/>
    <w:rsid w:val="007D5327"/>
    <w:rsid w:val="007D54D5"/>
    <w:rsid w:val="007D5A77"/>
    <w:rsid w:val="007D5FF0"/>
    <w:rsid w:val="007D6859"/>
    <w:rsid w:val="007D6E65"/>
    <w:rsid w:val="007D7019"/>
    <w:rsid w:val="007D745E"/>
    <w:rsid w:val="007E0197"/>
    <w:rsid w:val="007E08A5"/>
    <w:rsid w:val="007E10DE"/>
    <w:rsid w:val="007E1D87"/>
    <w:rsid w:val="007E2690"/>
    <w:rsid w:val="007E356B"/>
    <w:rsid w:val="007E397C"/>
    <w:rsid w:val="007E3C15"/>
    <w:rsid w:val="007E4218"/>
    <w:rsid w:val="007E4918"/>
    <w:rsid w:val="007E4E3D"/>
    <w:rsid w:val="007E4FBF"/>
    <w:rsid w:val="007E5258"/>
    <w:rsid w:val="007E5B1E"/>
    <w:rsid w:val="007E5B2F"/>
    <w:rsid w:val="007E63F9"/>
    <w:rsid w:val="007E655D"/>
    <w:rsid w:val="007E6801"/>
    <w:rsid w:val="007E714E"/>
    <w:rsid w:val="007E77C2"/>
    <w:rsid w:val="007E7DC3"/>
    <w:rsid w:val="007F0047"/>
    <w:rsid w:val="007F0158"/>
    <w:rsid w:val="007F06BC"/>
    <w:rsid w:val="007F0EC6"/>
    <w:rsid w:val="007F1591"/>
    <w:rsid w:val="007F15DE"/>
    <w:rsid w:val="007F1666"/>
    <w:rsid w:val="007F2681"/>
    <w:rsid w:val="007F26C7"/>
    <w:rsid w:val="007F313D"/>
    <w:rsid w:val="007F369F"/>
    <w:rsid w:val="007F3FDC"/>
    <w:rsid w:val="007F47A3"/>
    <w:rsid w:val="007F51F9"/>
    <w:rsid w:val="007F5E48"/>
    <w:rsid w:val="007F6611"/>
    <w:rsid w:val="007F68FC"/>
    <w:rsid w:val="007F6B3F"/>
    <w:rsid w:val="007F6CD2"/>
    <w:rsid w:val="007F6E09"/>
    <w:rsid w:val="007F7050"/>
    <w:rsid w:val="007F7072"/>
    <w:rsid w:val="007F7D85"/>
    <w:rsid w:val="00800645"/>
    <w:rsid w:val="008010BB"/>
    <w:rsid w:val="00801468"/>
    <w:rsid w:val="0080191C"/>
    <w:rsid w:val="00802AFD"/>
    <w:rsid w:val="008035B4"/>
    <w:rsid w:val="00803AFE"/>
    <w:rsid w:val="00803EE3"/>
    <w:rsid w:val="00803FBD"/>
    <w:rsid w:val="008040DC"/>
    <w:rsid w:val="0080417B"/>
    <w:rsid w:val="008046EA"/>
    <w:rsid w:val="00805A79"/>
    <w:rsid w:val="00805DCD"/>
    <w:rsid w:val="00806ADA"/>
    <w:rsid w:val="00806AF6"/>
    <w:rsid w:val="00806B7F"/>
    <w:rsid w:val="00806B97"/>
    <w:rsid w:val="00806F17"/>
    <w:rsid w:val="00807913"/>
    <w:rsid w:val="00807C81"/>
    <w:rsid w:val="00810746"/>
    <w:rsid w:val="00810D9D"/>
    <w:rsid w:val="00811167"/>
    <w:rsid w:val="00811348"/>
    <w:rsid w:val="00811648"/>
    <w:rsid w:val="0081235D"/>
    <w:rsid w:val="008129B3"/>
    <w:rsid w:val="00812BCB"/>
    <w:rsid w:val="00813308"/>
    <w:rsid w:val="00813C79"/>
    <w:rsid w:val="008142B6"/>
    <w:rsid w:val="008146C2"/>
    <w:rsid w:val="008146CD"/>
    <w:rsid w:val="0081477E"/>
    <w:rsid w:val="0081489C"/>
    <w:rsid w:val="008154F7"/>
    <w:rsid w:val="008155C3"/>
    <w:rsid w:val="00815A85"/>
    <w:rsid w:val="00815BB1"/>
    <w:rsid w:val="00815EC2"/>
    <w:rsid w:val="0081625C"/>
    <w:rsid w:val="0081654A"/>
    <w:rsid w:val="0081679A"/>
    <w:rsid w:val="00816EB1"/>
    <w:rsid w:val="00817259"/>
    <w:rsid w:val="008172EC"/>
    <w:rsid w:val="00817312"/>
    <w:rsid w:val="008175D2"/>
    <w:rsid w:val="008175E9"/>
    <w:rsid w:val="00817BBC"/>
    <w:rsid w:val="00817FAA"/>
    <w:rsid w:val="00820166"/>
    <w:rsid w:val="0082106F"/>
    <w:rsid w:val="008210AE"/>
    <w:rsid w:val="008214C8"/>
    <w:rsid w:val="0082166D"/>
    <w:rsid w:val="008218E6"/>
    <w:rsid w:val="008219B4"/>
    <w:rsid w:val="0082243E"/>
    <w:rsid w:val="008227AF"/>
    <w:rsid w:val="00822A24"/>
    <w:rsid w:val="00822C62"/>
    <w:rsid w:val="00822FDA"/>
    <w:rsid w:val="008235FD"/>
    <w:rsid w:val="008237A8"/>
    <w:rsid w:val="0082395C"/>
    <w:rsid w:val="00823B4E"/>
    <w:rsid w:val="00823C18"/>
    <w:rsid w:val="008242D7"/>
    <w:rsid w:val="00824909"/>
    <w:rsid w:val="00824BEE"/>
    <w:rsid w:val="00824C28"/>
    <w:rsid w:val="00825000"/>
    <w:rsid w:val="00825154"/>
    <w:rsid w:val="008273FC"/>
    <w:rsid w:val="00827450"/>
    <w:rsid w:val="008274FA"/>
    <w:rsid w:val="0082751B"/>
    <w:rsid w:val="008278C0"/>
    <w:rsid w:val="00827BDF"/>
    <w:rsid w:val="008304E8"/>
    <w:rsid w:val="0083065C"/>
    <w:rsid w:val="00831C6E"/>
    <w:rsid w:val="008326D3"/>
    <w:rsid w:val="008327FF"/>
    <w:rsid w:val="00832AFE"/>
    <w:rsid w:val="0083328C"/>
    <w:rsid w:val="00833CAD"/>
    <w:rsid w:val="00833D1B"/>
    <w:rsid w:val="00834C38"/>
    <w:rsid w:val="0083598B"/>
    <w:rsid w:val="00835FB4"/>
    <w:rsid w:val="0083665B"/>
    <w:rsid w:val="00837099"/>
    <w:rsid w:val="008370E1"/>
    <w:rsid w:val="00837C83"/>
    <w:rsid w:val="0084078A"/>
    <w:rsid w:val="00840F7E"/>
    <w:rsid w:val="00841B56"/>
    <w:rsid w:val="00841BD8"/>
    <w:rsid w:val="00841C38"/>
    <w:rsid w:val="00842318"/>
    <w:rsid w:val="0084286A"/>
    <w:rsid w:val="00842A44"/>
    <w:rsid w:val="008434A0"/>
    <w:rsid w:val="00843D17"/>
    <w:rsid w:val="00843D89"/>
    <w:rsid w:val="00844338"/>
    <w:rsid w:val="0084459D"/>
    <w:rsid w:val="0084486E"/>
    <w:rsid w:val="00844D38"/>
    <w:rsid w:val="00845195"/>
    <w:rsid w:val="0084524B"/>
    <w:rsid w:val="0084685E"/>
    <w:rsid w:val="008469F4"/>
    <w:rsid w:val="00846FB0"/>
    <w:rsid w:val="00846FBA"/>
    <w:rsid w:val="008470A7"/>
    <w:rsid w:val="008474CA"/>
    <w:rsid w:val="00850C70"/>
    <w:rsid w:val="00850E27"/>
    <w:rsid w:val="008517AC"/>
    <w:rsid w:val="008519B3"/>
    <w:rsid w:val="008526AB"/>
    <w:rsid w:val="008528F1"/>
    <w:rsid w:val="00852AC1"/>
    <w:rsid w:val="00852AFD"/>
    <w:rsid w:val="00852D6F"/>
    <w:rsid w:val="008533E2"/>
    <w:rsid w:val="00853846"/>
    <w:rsid w:val="00853C65"/>
    <w:rsid w:val="008545CB"/>
    <w:rsid w:val="008547D3"/>
    <w:rsid w:val="008547D6"/>
    <w:rsid w:val="0085505D"/>
    <w:rsid w:val="00855DAE"/>
    <w:rsid w:val="00855E91"/>
    <w:rsid w:val="00856756"/>
    <w:rsid w:val="0085692F"/>
    <w:rsid w:val="00856B91"/>
    <w:rsid w:val="00856CD2"/>
    <w:rsid w:val="00857144"/>
    <w:rsid w:val="008575E0"/>
    <w:rsid w:val="00857AA3"/>
    <w:rsid w:val="008602F7"/>
    <w:rsid w:val="00860807"/>
    <w:rsid w:val="00860E6D"/>
    <w:rsid w:val="00861A35"/>
    <w:rsid w:val="00861ACF"/>
    <w:rsid w:val="00861BC6"/>
    <w:rsid w:val="008624A7"/>
    <w:rsid w:val="00862FF1"/>
    <w:rsid w:val="00863038"/>
    <w:rsid w:val="0086316A"/>
    <w:rsid w:val="008632C8"/>
    <w:rsid w:val="0086373B"/>
    <w:rsid w:val="008637E9"/>
    <w:rsid w:val="00863882"/>
    <w:rsid w:val="008639B1"/>
    <w:rsid w:val="00863E57"/>
    <w:rsid w:val="0086445C"/>
    <w:rsid w:val="00864C32"/>
    <w:rsid w:val="00864E3D"/>
    <w:rsid w:val="00865019"/>
    <w:rsid w:val="008650A0"/>
    <w:rsid w:val="00865400"/>
    <w:rsid w:val="008667A0"/>
    <w:rsid w:val="00866F21"/>
    <w:rsid w:val="0087006C"/>
    <w:rsid w:val="00870148"/>
    <w:rsid w:val="008703FC"/>
    <w:rsid w:val="008712C3"/>
    <w:rsid w:val="00871C53"/>
    <w:rsid w:val="00871FD5"/>
    <w:rsid w:val="0087207D"/>
    <w:rsid w:val="008722A2"/>
    <w:rsid w:val="00872555"/>
    <w:rsid w:val="00872618"/>
    <w:rsid w:val="00872B78"/>
    <w:rsid w:val="00872CA7"/>
    <w:rsid w:val="00872ED4"/>
    <w:rsid w:val="008731FF"/>
    <w:rsid w:val="00873369"/>
    <w:rsid w:val="00873AB5"/>
    <w:rsid w:val="00873B38"/>
    <w:rsid w:val="008740D8"/>
    <w:rsid w:val="008743BF"/>
    <w:rsid w:val="0087452B"/>
    <w:rsid w:val="008748BF"/>
    <w:rsid w:val="00874924"/>
    <w:rsid w:val="00874958"/>
    <w:rsid w:val="00875912"/>
    <w:rsid w:val="0087670B"/>
    <w:rsid w:val="00876C77"/>
    <w:rsid w:val="00876D27"/>
    <w:rsid w:val="00876F4C"/>
    <w:rsid w:val="008776EB"/>
    <w:rsid w:val="00877B3A"/>
    <w:rsid w:val="0088001A"/>
    <w:rsid w:val="0088085F"/>
    <w:rsid w:val="00880F2C"/>
    <w:rsid w:val="00880F77"/>
    <w:rsid w:val="00881086"/>
    <w:rsid w:val="00881FBD"/>
    <w:rsid w:val="00882803"/>
    <w:rsid w:val="008831B9"/>
    <w:rsid w:val="008832E9"/>
    <w:rsid w:val="008837A1"/>
    <w:rsid w:val="00883B5B"/>
    <w:rsid w:val="00884378"/>
    <w:rsid w:val="008843C2"/>
    <w:rsid w:val="008846A2"/>
    <w:rsid w:val="00884752"/>
    <w:rsid w:val="00884759"/>
    <w:rsid w:val="00884872"/>
    <w:rsid w:val="00884E92"/>
    <w:rsid w:val="00885678"/>
    <w:rsid w:val="00885A82"/>
    <w:rsid w:val="00885C12"/>
    <w:rsid w:val="00885DEC"/>
    <w:rsid w:val="008860D2"/>
    <w:rsid w:val="008864A2"/>
    <w:rsid w:val="00886C7A"/>
    <w:rsid w:val="00887099"/>
    <w:rsid w:val="008905A7"/>
    <w:rsid w:val="008908E6"/>
    <w:rsid w:val="008912CE"/>
    <w:rsid w:val="008915DB"/>
    <w:rsid w:val="00891822"/>
    <w:rsid w:val="00891EA9"/>
    <w:rsid w:val="008921D9"/>
    <w:rsid w:val="008926F4"/>
    <w:rsid w:val="00892B7A"/>
    <w:rsid w:val="00893015"/>
    <w:rsid w:val="00893CEA"/>
    <w:rsid w:val="00894132"/>
    <w:rsid w:val="00894289"/>
    <w:rsid w:val="008947E4"/>
    <w:rsid w:val="00895810"/>
    <w:rsid w:val="0089599E"/>
    <w:rsid w:val="00895FC6"/>
    <w:rsid w:val="00896716"/>
    <w:rsid w:val="00896EE0"/>
    <w:rsid w:val="0089726E"/>
    <w:rsid w:val="0089772B"/>
    <w:rsid w:val="0089793F"/>
    <w:rsid w:val="008979B1"/>
    <w:rsid w:val="008A063A"/>
    <w:rsid w:val="008A0A87"/>
    <w:rsid w:val="008A1118"/>
    <w:rsid w:val="008A188B"/>
    <w:rsid w:val="008A19A9"/>
    <w:rsid w:val="008A19C1"/>
    <w:rsid w:val="008A1E65"/>
    <w:rsid w:val="008A21DC"/>
    <w:rsid w:val="008A323B"/>
    <w:rsid w:val="008A3853"/>
    <w:rsid w:val="008A3D88"/>
    <w:rsid w:val="008A3E21"/>
    <w:rsid w:val="008A3F17"/>
    <w:rsid w:val="008A4122"/>
    <w:rsid w:val="008A4328"/>
    <w:rsid w:val="008A43C2"/>
    <w:rsid w:val="008A440F"/>
    <w:rsid w:val="008A45EC"/>
    <w:rsid w:val="008A4822"/>
    <w:rsid w:val="008A4969"/>
    <w:rsid w:val="008A4AD7"/>
    <w:rsid w:val="008A4CEF"/>
    <w:rsid w:val="008A52A9"/>
    <w:rsid w:val="008A55F9"/>
    <w:rsid w:val="008A5781"/>
    <w:rsid w:val="008A5BCE"/>
    <w:rsid w:val="008A5C9F"/>
    <w:rsid w:val="008A6216"/>
    <w:rsid w:val="008A67B1"/>
    <w:rsid w:val="008A6819"/>
    <w:rsid w:val="008A6A50"/>
    <w:rsid w:val="008A6B25"/>
    <w:rsid w:val="008A6C4F"/>
    <w:rsid w:val="008A728F"/>
    <w:rsid w:val="008A7791"/>
    <w:rsid w:val="008B09A0"/>
    <w:rsid w:val="008B0CBD"/>
    <w:rsid w:val="008B1E11"/>
    <w:rsid w:val="008B28DB"/>
    <w:rsid w:val="008B2B39"/>
    <w:rsid w:val="008B316C"/>
    <w:rsid w:val="008B31B5"/>
    <w:rsid w:val="008B3488"/>
    <w:rsid w:val="008B375B"/>
    <w:rsid w:val="008B3EFD"/>
    <w:rsid w:val="008B42DE"/>
    <w:rsid w:val="008B4430"/>
    <w:rsid w:val="008B4E7F"/>
    <w:rsid w:val="008B5E71"/>
    <w:rsid w:val="008B5EB9"/>
    <w:rsid w:val="008B6381"/>
    <w:rsid w:val="008B6808"/>
    <w:rsid w:val="008B6DFC"/>
    <w:rsid w:val="008C0E44"/>
    <w:rsid w:val="008C0FB1"/>
    <w:rsid w:val="008C141B"/>
    <w:rsid w:val="008C1BC5"/>
    <w:rsid w:val="008C1DF6"/>
    <w:rsid w:val="008C1E4D"/>
    <w:rsid w:val="008C2058"/>
    <w:rsid w:val="008C2D86"/>
    <w:rsid w:val="008C2F95"/>
    <w:rsid w:val="008C300B"/>
    <w:rsid w:val="008C30B5"/>
    <w:rsid w:val="008C30BA"/>
    <w:rsid w:val="008C3176"/>
    <w:rsid w:val="008C318B"/>
    <w:rsid w:val="008C31E6"/>
    <w:rsid w:val="008C33C0"/>
    <w:rsid w:val="008C355A"/>
    <w:rsid w:val="008C41A7"/>
    <w:rsid w:val="008C4CAB"/>
    <w:rsid w:val="008C4D3A"/>
    <w:rsid w:val="008C5DCD"/>
    <w:rsid w:val="008C5DF6"/>
    <w:rsid w:val="008C60A4"/>
    <w:rsid w:val="008C6982"/>
    <w:rsid w:val="008C7321"/>
    <w:rsid w:val="008C7883"/>
    <w:rsid w:val="008C7C12"/>
    <w:rsid w:val="008D02E1"/>
    <w:rsid w:val="008D098E"/>
    <w:rsid w:val="008D1339"/>
    <w:rsid w:val="008D1DA1"/>
    <w:rsid w:val="008D1DFE"/>
    <w:rsid w:val="008D2051"/>
    <w:rsid w:val="008D2878"/>
    <w:rsid w:val="008D2BAB"/>
    <w:rsid w:val="008D33F8"/>
    <w:rsid w:val="008D35B1"/>
    <w:rsid w:val="008D3D65"/>
    <w:rsid w:val="008D3F3E"/>
    <w:rsid w:val="008D404D"/>
    <w:rsid w:val="008D439D"/>
    <w:rsid w:val="008D4508"/>
    <w:rsid w:val="008D50EA"/>
    <w:rsid w:val="008D50F4"/>
    <w:rsid w:val="008D5BE8"/>
    <w:rsid w:val="008D5FB2"/>
    <w:rsid w:val="008D6831"/>
    <w:rsid w:val="008D6A49"/>
    <w:rsid w:val="008D7066"/>
    <w:rsid w:val="008D7593"/>
    <w:rsid w:val="008E0BC3"/>
    <w:rsid w:val="008E0BEF"/>
    <w:rsid w:val="008E0E11"/>
    <w:rsid w:val="008E0E46"/>
    <w:rsid w:val="008E16B9"/>
    <w:rsid w:val="008E2364"/>
    <w:rsid w:val="008E2A45"/>
    <w:rsid w:val="008E2BB5"/>
    <w:rsid w:val="008E2ED5"/>
    <w:rsid w:val="008E3166"/>
    <w:rsid w:val="008E3183"/>
    <w:rsid w:val="008E34EE"/>
    <w:rsid w:val="008E3F9A"/>
    <w:rsid w:val="008E47A8"/>
    <w:rsid w:val="008E4984"/>
    <w:rsid w:val="008E4A73"/>
    <w:rsid w:val="008E4B2F"/>
    <w:rsid w:val="008E4C8C"/>
    <w:rsid w:val="008E4D34"/>
    <w:rsid w:val="008E4FCE"/>
    <w:rsid w:val="008E5292"/>
    <w:rsid w:val="008E589B"/>
    <w:rsid w:val="008E5AA5"/>
    <w:rsid w:val="008E5F28"/>
    <w:rsid w:val="008E5FBE"/>
    <w:rsid w:val="008E64B1"/>
    <w:rsid w:val="008E6648"/>
    <w:rsid w:val="008E69D7"/>
    <w:rsid w:val="008E77B8"/>
    <w:rsid w:val="008E7B66"/>
    <w:rsid w:val="008E7D11"/>
    <w:rsid w:val="008F0203"/>
    <w:rsid w:val="008F04E4"/>
    <w:rsid w:val="008F0B1F"/>
    <w:rsid w:val="008F0C02"/>
    <w:rsid w:val="008F0D20"/>
    <w:rsid w:val="008F12E9"/>
    <w:rsid w:val="008F16D3"/>
    <w:rsid w:val="008F1700"/>
    <w:rsid w:val="008F189B"/>
    <w:rsid w:val="008F25B2"/>
    <w:rsid w:val="008F2696"/>
    <w:rsid w:val="008F2A12"/>
    <w:rsid w:val="008F2C64"/>
    <w:rsid w:val="008F37D4"/>
    <w:rsid w:val="008F382B"/>
    <w:rsid w:val="008F3C83"/>
    <w:rsid w:val="008F4060"/>
    <w:rsid w:val="008F4335"/>
    <w:rsid w:val="008F447F"/>
    <w:rsid w:val="008F4708"/>
    <w:rsid w:val="008F4EE6"/>
    <w:rsid w:val="008F5726"/>
    <w:rsid w:val="008F6087"/>
    <w:rsid w:val="008F67E7"/>
    <w:rsid w:val="008F6855"/>
    <w:rsid w:val="008F6A1D"/>
    <w:rsid w:val="008F7462"/>
    <w:rsid w:val="008F7A06"/>
    <w:rsid w:val="008F7BFB"/>
    <w:rsid w:val="00900745"/>
    <w:rsid w:val="00900E96"/>
    <w:rsid w:val="00901308"/>
    <w:rsid w:val="0090170A"/>
    <w:rsid w:val="00901A5F"/>
    <w:rsid w:val="0090228C"/>
    <w:rsid w:val="0090240A"/>
    <w:rsid w:val="00902574"/>
    <w:rsid w:val="00902C67"/>
    <w:rsid w:val="00903391"/>
    <w:rsid w:val="0090452C"/>
    <w:rsid w:val="00904D95"/>
    <w:rsid w:val="00904D9C"/>
    <w:rsid w:val="00905615"/>
    <w:rsid w:val="00905ACC"/>
    <w:rsid w:val="0090614C"/>
    <w:rsid w:val="00906230"/>
    <w:rsid w:val="00906821"/>
    <w:rsid w:val="00906E11"/>
    <w:rsid w:val="00906E14"/>
    <w:rsid w:val="00907204"/>
    <w:rsid w:val="00907702"/>
    <w:rsid w:val="009077B7"/>
    <w:rsid w:val="00907C3F"/>
    <w:rsid w:val="00907C83"/>
    <w:rsid w:val="00907E2E"/>
    <w:rsid w:val="00907FB3"/>
    <w:rsid w:val="00910328"/>
    <w:rsid w:val="00910DBB"/>
    <w:rsid w:val="00910E7C"/>
    <w:rsid w:val="009112B7"/>
    <w:rsid w:val="00911381"/>
    <w:rsid w:val="009122A1"/>
    <w:rsid w:val="0091270E"/>
    <w:rsid w:val="00912AE2"/>
    <w:rsid w:val="00912BDA"/>
    <w:rsid w:val="00912F1C"/>
    <w:rsid w:val="00913B15"/>
    <w:rsid w:val="00914180"/>
    <w:rsid w:val="009146DD"/>
    <w:rsid w:val="00915151"/>
    <w:rsid w:val="009151CD"/>
    <w:rsid w:val="009164F0"/>
    <w:rsid w:val="00916558"/>
    <w:rsid w:val="0091678C"/>
    <w:rsid w:val="00916F1B"/>
    <w:rsid w:val="00916F51"/>
    <w:rsid w:val="00917445"/>
    <w:rsid w:val="00917462"/>
    <w:rsid w:val="00917570"/>
    <w:rsid w:val="00917CED"/>
    <w:rsid w:val="00920A1E"/>
    <w:rsid w:val="00920C0F"/>
    <w:rsid w:val="00920E81"/>
    <w:rsid w:val="00920EB1"/>
    <w:rsid w:val="0092138B"/>
    <w:rsid w:val="00921C70"/>
    <w:rsid w:val="00922321"/>
    <w:rsid w:val="0092237C"/>
    <w:rsid w:val="009224EC"/>
    <w:rsid w:val="00922B42"/>
    <w:rsid w:val="009230E4"/>
    <w:rsid w:val="00923A80"/>
    <w:rsid w:val="00923B10"/>
    <w:rsid w:val="00923D56"/>
    <w:rsid w:val="00924015"/>
    <w:rsid w:val="00924292"/>
    <w:rsid w:val="00924471"/>
    <w:rsid w:val="00924BDD"/>
    <w:rsid w:val="00925259"/>
    <w:rsid w:val="00925EB2"/>
    <w:rsid w:val="009267D1"/>
    <w:rsid w:val="00927317"/>
    <w:rsid w:val="00927711"/>
    <w:rsid w:val="00927B03"/>
    <w:rsid w:val="009302FE"/>
    <w:rsid w:val="009308C7"/>
    <w:rsid w:val="009309F9"/>
    <w:rsid w:val="00930D48"/>
    <w:rsid w:val="00931242"/>
    <w:rsid w:val="0093159F"/>
    <w:rsid w:val="009328E2"/>
    <w:rsid w:val="00932A67"/>
    <w:rsid w:val="00932A7F"/>
    <w:rsid w:val="0093311D"/>
    <w:rsid w:val="00933467"/>
    <w:rsid w:val="0093365A"/>
    <w:rsid w:val="009336EB"/>
    <w:rsid w:val="00933D61"/>
    <w:rsid w:val="009346CE"/>
    <w:rsid w:val="00934B84"/>
    <w:rsid w:val="00934E62"/>
    <w:rsid w:val="00934F61"/>
    <w:rsid w:val="00934FCF"/>
    <w:rsid w:val="00935356"/>
    <w:rsid w:val="00936347"/>
    <w:rsid w:val="009369A8"/>
    <w:rsid w:val="00936C65"/>
    <w:rsid w:val="0093707B"/>
    <w:rsid w:val="009370E9"/>
    <w:rsid w:val="00937338"/>
    <w:rsid w:val="009379D8"/>
    <w:rsid w:val="00937C1D"/>
    <w:rsid w:val="00937C22"/>
    <w:rsid w:val="009400EB"/>
    <w:rsid w:val="0094015A"/>
    <w:rsid w:val="00940361"/>
    <w:rsid w:val="00940379"/>
    <w:rsid w:val="00940BE2"/>
    <w:rsid w:val="00940C30"/>
    <w:rsid w:val="00940FAD"/>
    <w:rsid w:val="009412EC"/>
    <w:rsid w:val="00941403"/>
    <w:rsid w:val="00941A40"/>
    <w:rsid w:val="00941E59"/>
    <w:rsid w:val="0094219F"/>
    <w:rsid w:val="00942505"/>
    <w:rsid w:val="009427E3"/>
    <w:rsid w:val="00944271"/>
    <w:rsid w:val="00944FD8"/>
    <w:rsid w:val="00945252"/>
    <w:rsid w:val="00945783"/>
    <w:rsid w:val="0094622A"/>
    <w:rsid w:val="00946394"/>
    <w:rsid w:val="00946499"/>
    <w:rsid w:val="00946822"/>
    <w:rsid w:val="00946B26"/>
    <w:rsid w:val="00947F4A"/>
    <w:rsid w:val="00950145"/>
    <w:rsid w:val="0095063F"/>
    <w:rsid w:val="009509F6"/>
    <w:rsid w:val="00950AA6"/>
    <w:rsid w:val="00950BE3"/>
    <w:rsid w:val="00950FBB"/>
    <w:rsid w:val="009512F2"/>
    <w:rsid w:val="009518EE"/>
    <w:rsid w:val="009519D8"/>
    <w:rsid w:val="00951C77"/>
    <w:rsid w:val="0095229F"/>
    <w:rsid w:val="009523F9"/>
    <w:rsid w:val="00954B9E"/>
    <w:rsid w:val="00954CDF"/>
    <w:rsid w:val="00954EDE"/>
    <w:rsid w:val="0095524B"/>
    <w:rsid w:val="009554B8"/>
    <w:rsid w:val="009556D2"/>
    <w:rsid w:val="00955A14"/>
    <w:rsid w:val="00956474"/>
    <w:rsid w:val="00956590"/>
    <w:rsid w:val="009568A7"/>
    <w:rsid w:val="00956AB8"/>
    <w:rsid w:val="00956C77"/>
    <w:rsid w:val="00956D9B"/>
    <w:rsid w:val="009570DA"/>
    <w:rsid w:val="0096039B"/>
    <w:rsid w:val="009605AB"/>
    <w:rsid w:val="009605EB"/>
    <w:rsid w:val="009606FF"/>
    <w:rsid w:val="00960775"/>
    <w:rsid w:val="00960BA6"/>
    <w:rsid w:val="00960C15"/>
    <w:rsid w:val="00960CCF"/>
    <w:rsid w:val="00960E74"/>
    <w:rsid w:val="0096101A"/>
    <w:rsid w:val="00962212"/>
    <w:rsid w:val="00962336"/>
    <w:rsid w:val="00962CDD"/>
    <w:rsid w:val="00962EF3"/>
    <w:rsid w:val="00963CBA"/>
    <w:rsid w:val="00963D87"/>
    <w:rsid w:val="00963ED3"/>
    <w:rsid w:val="00964913"/>
    <w:rsid w:val="00964AE3"/>
    <w:rsid w:val="009654B7"/>
    <w:rsid w:val="009658C9"/>
    <w:rsid w:val="00965CD7"/>
    <w:rsid w:val="00965EC1"/>
    <w:rsid w:val="00965F31"/>
    <w:rsid w:val="00966B96"/>
    <w:rsid w:val="009675B8"/>
    <w:rsid w:val="00967DFC"/>
    <w:rsid w:val="0097036A"/>
    <w:rsid w:val="0097046A"/>
    <w:rsid w:val="00970C1F"/>
    <w:rsid w:val="00970DF6"/>
    <w:rsid w:val="00970F29"/>
    <w:rsid w:val="009716E4"/>
    <w:rsid w:val="00971ABF"/>
    <w:rsid w:val="00971AFA"/>
    <w:rsid w:val="00971C69"/>
    <w:rsid w:val="00971CC9"/>
    <w:rsid w:val="00971DDF"/>
    <w:rsid w:val="00971F43"/>
    <w:rsid w:val="009736E1"/>
    <w:rsid w:val="0097376D"/>
    <w:rsid w:val="00973C0E"/>
    <w:rsid w:val="0097406B"/>
    <w:rsid w:val="0097498C"/>
    <w:rsid w:val="0097535A"/>
    <w:rsid w:val="0097548B"/>
    <w:rsid w:val="00975716"/>
    <w:rsid w:val="0097595D"/>
    <w:rsid w:val="00976468"/>
    <w:rsid w:val="009764C1"/>
    <w:rsid w:val="00976BCE"/>
    <w:rsid w:val="00976CED"/>
    <w:rsid w:val="00976D56"/>
    <w:rsid w:val="00977155"/>
    <w:rsid w:val="009773C6"/>
    <w:rsid w:val="00980BD9"/>
    <w:rsid w:val="00980F91"/>
    <w:rsid w:val="00981693"/>
    <w:rsid w:val="00981860"/>
    <w:rsid w:val="0098219A"/>
    <w:rsid w:val="0098287C"/>
    <w:rsid w:val="00982A32"/>
    <w:rsid w:val="00982F8C"/>
    <w:rsid w:val="00983636"/>
    <w:rsid w:val="00983FF5"/>
    <w:rsid w:val="0098453F"/>
    <w:rsid w:val="00984721"/>
    <w:rsid w:val="009848DF"/>
    <w:rsid w:val="00984989"/>
    <w:rsid w:val="009849C2"/>
    <w:rsid w:val="00984E0D"/>
    <w:rsid w:val="00985ABB"/>
    <w:rsid w:val="00986007"/>
    <w:rsid w:val="00986938"/>
    <w:rsid w:val="009872F7"/>
    <w:rsid w:val="00987C5C"/>
    <w:rsid w:val="00990DC3"/>
    <w:rsid w:val="00991261"/>
    <w:rsid w:val="00992753"/>
    <w:rsid w:val="00993C26"/>
    <w:rsid w:val="0099401A"/>
    <w:rsid w:val="00994252"/>
    <w:rsid w:val="009943AE"/>
    <w:rsid w:val="0099481D"/>
    <w:rsid w:val="00994B84"/>
    <w:rsid w:val="00994D19"/>
    <w:rsid w:val="0099513E"/>
    <w:rsid w:val="009959BD"/>
    <w:rsid w:val="00995F7F"/>
    <w:rsid w:val="009962E5"/>
    <w:rsid w:val="00996454"/>
    <w:rsid w:val="00996846"/>
    <w:rsid w:val="00996A67"/>
    <w:rsid w:val="00996B15"/>
    <w:rsid w:val="00996CEC"/>
    <w:rsid w:val="00996DF8"/>
    <w:rsid w:val="00997874"/>
    <w:rsid w:val="009A0B83"/>
    <w:rsid w:val="009A0FA5"/>
    <w:rsid w:val="009A134B"/>
    <w:rsid w:val="009A18B7"/>
    <w:rsid w:val="009A1E99"/>
    <w:rsid w:val="009A237F"/>
    <w:rsid w:val="009A2984"/>
    <w:rsid w:val="009A29C8"/>
    <w:rsid w:val="009A2BFD"/>
    <w:rsid w:val="009A2C9E"/>
    <w:rsid w:val="009A3028"/>
    <w:rsid w:val="009A3066"/>
    <w:rsid w:val="009A3225"/>
    <w:rsid w:val="009A386F"/>
    <w:rsid w:val="009A39CB"/>
    <w:rsid w:val="009A3B56"/>
    <w:rsid w:val="009A3B75"/>
    <w:rsid w:val="009A3D78"/>
    <w:rsid w:val="009A3E56"/>
    <w:rsid w:val="009A4459"/>
    <w:rsid w:val="009A48D4"/>
    <w:rsid w:val="009A4E72"/>
    <w:rsid w:val="009A5003"/>
    <w:rsid w:val="009A5986"/>
    <w:rsid w:val="009A5A5B"/>
    <w:rsid w:val="009A7335"/>
    <w:rsid w:val="009A7809"/>
    <w:rsid w:val="009A7C95"/>
    <w:rsid w:val="009A7DF0"/>
    <w:rsid w:val="009B02C4"/>
    <w:rsid w:val="009B0737"/>
    <w:rsid w:val="009B09EF"/>
    <w:rsid w:val="009B0B4C"/>
    <w:rsid w:val="009B11B8"/>
    <w:rsid w:val="009B12C5"/>
    <w:rsid w:val="009B13C1"/>
    <w:rsid w:val="009B2074"/>
    <w:rsid w:val="009B22F6"/>
    <w:rsid w:val="009B281A"/>
    <w:rsid w:val="009B3800"/>
    <w:rsid w:val="009B496A"/>
    <w:rsid w:val="009B4999"/>
    <w:rsid w:val="009B4D33"/>
    <w:rsid w:val="009B4F0E"/>
    <w:rsid w:val="009B5086"/>
    <w:rsid w:val="009B53F3"/>
    <w:rsid w:val="009B5892"/>
    <w:rsid w:val="009B608A"/>
    <w:rsid w:val="009B6180"/>
    <w:rsid w:val="009B6790"/>
    <w:rsid w:val="009B7368"/>
    <w:rsid w:val="009B7754"/>
    <w:rsid w:val="009B7D2A"/>
    <w:rsid w:val="009B7EB5"/>
    <w:rsid w:val="009B7F33"/>
    <w:rsid w:val="009C00C9"/>
    <w:rsid w:val="009C01D9"/>
    <w:rsid w:val="009C0EE2"/>
    <w:rsid w:val="009C0F11"/>
    <w:rsid w:val="009C1364"/>
    <w:rsid w:val="009C1375"/>
    <w:rsid w:val="009C1739"/>
    <w:rsid w:val="009C1850"/>
    <w:rsid w:val="009C185C"/>
    <w:rsid w:val="009C1F33"/>
    <w:rsid w:val="009C22C4"/>
    <w:rsid w:val="009C252B"/>
    <w:rsid w:val="009C270B"/>
    <w:rsid w:val="009C2A51"/>
    <w:rsid w:val="009C2B6E"/>
    <w:rsid w:val="009C3786"/>
    <w:rsid w:val="009C46BE"/>
    <w:rsid w:val="009C4B2B"/>
    <w:rsid w:val="009C5939"/>
    <w:rsid w:val="009C5BF2"/>
    <w:rsid w:val="009C5EB0"/>
    <w:rsid w:val="009C63F8"/>
    <w:rsid w:val="009C64E2"/>
    <w:rsid w:val="009C6517"/>
    <w:rsid w:val="009C6732"/>
    <w:rsid w:val="009C6DBE"/>
    <w:rsid w:val="009C6E3A"/>
    <w:rsid w:val="009C70A3"/>
    <w:rsid w:val="009C7B96"/>
    <w:rsid w:val="009C7C4B"/>
    <w:rsid w:val="009D108A"/>
    <w:rsid w:val="009D12C4"/>
    <w:rsid w:val="009D1549"/>
    <w:rsid w:val="009D20DC"/>
    <w:rsid w:val="009D22AC"/>
    <w:rsid w:val="009D240F"/>
    <w:rsid w:val="009D2684"/>
    <w:rsid w:val="009D2D44"/>
    <w:rsid w:val="009D2E5B"/>
    <w:rsid w:val="009D2F41"/>
    <w:rsid w:val="009D30E8"/>
    <w:rsid w:val="009D3953"/>
    <w:rsid w:val="009D3CF1"/>
    <w:rsid w:val="009D3D84"/>
    <w:rsid w:val="009D47DA"/>
    <w:rsid w:val="009D4B03"/>
    <w:rsid w:val="009D4EE8"/>
    <w:rsid w:val="009D4F73"/>
    <w:rsid w:val="009D50DB"/>
    <w:rsid w:val="009D5D39"/>
    <w:rsid w:val="009D69C6"/>
    <w:rsid w:val="009D6A33"/>
    <w:rsid w:val="009D6CAD"/>
    <w:rsid w:val="009D6DD4"/>
    <w:rsid w:val="009D6F54"/>
    <w:rsid w:val="009D71BB"/>
    <w:rsid w:val="009D727C"/>
    <w:rsid w:val="009D78B5"/>
    <w:rsid w:val="009D79DB"/>
    <w:rsid w:val="009D7E22"/>
    <w:rsid w:val="009E0958"/>
    <w:rsid w:val="009E0DE1"/>
    <w:rsid w:val="009E0E30"/>
    <w:rsid w:val="009E0F01"/>
    <w:rsid w:val="009E1905"/>
    <w:rsid w:val="009E1AD4"/>
    <w:rsid w:val="009E1C4E"/>
    <w:rsid w:val="009E2BBA"/>
    <w:rsid w:val="009E380C"/>
    <w:rsid w:val="009E47D7"/>
    <w:rsid w:val="009E4804"/>
    <w:rsid w:val="009E56D7"/>
    <w:rsid w:val="009E575C"/>
    <w:rsid w:val="009E58E4"/>
    <w:rsid w:val="009E6CF8"/>
    <w:rsid w:val="009E7030"/>
    <w:rsid w:val="009E703D"/>
    <w:rsid w:val="009E729F"/>
    <w:rsid w:val="009E72C7"/>
    <w:rsid w:val="009E79A7"/>
    <w:rsid w:val="009E7B15"/>
    <w:rsid w:val="009E7F6F"/>
    <w:rsid w:val="009F055D"/>
    <w:rsid w:val="009F06F8"/>
    <w:rsid w:val="009F0D35"/>
    <w:rsid w:val="009F1F37"/>
    <w:rsid w:val="009F2573"/>
    <w:rsid w:val="009F2641"/>
    <w:rsid w:val="009F2665"/>
    <w:rsid w:val="009F3A8D"/>
    <w:rsid w:val="009F4084"/>
    <w:rsid w:val="009F4495"/>
    <w:rsid w:val="009F48ED"/>
    <w:rsid w:val="009F514A"/>
    <w:rsid w:val="009F5948"/>
    <w:rsid w:val="009F5E79"/>
    <w:rsid w:val="009F6096"/>
    <w:rsid w:val="009F6328"/>
    <w:rsid w:val="009F63FC"/>
    <w:rsid w:val="009F65CD"/>
    <w:rsid w:val="009F6A94"/>
    <w:rsid w:val="009F77A8"/>
    <w:rsid w:val="00A002FF"/>
    <w:rsid w:val="00A008F0"/>
    <w:rsid w:val="00A00A62"/>
    <w:rsid w:val="00A013C6"/>
    <w:rsid w:val="00A015EE"/>
    <w:rsid w:val="00A01E90"/>
    <w:rsid w:val="00A01FA6"/>
    <w:rsid w:val="00A02126"/>
    <w:rsid w:val="00A02690"/>
    <w:rsid w:val="00A02800"/>
    <w:rsid w:val="00A03631"/>
    <w:rsid w:val="00A03B4E"/>
    <w:rsid w:val="00A03C91"/>
    <w:rsid w:val="00A03CFF"/>
    <w:rsid w:val="00A03D01"/>
    <w:rsid w:val="00A043C9"/>
    <w:rsid w:val="00A04671"/>
    <w:rsid w:val="00A049E1"/>
    <w:rsid w:val="00A04E22"/>
    <w:rsid w:val="00A05024"/>
    <w:rsid w:val="00A05053"/>
    <w:rsid w:val="00A05E0B"/>
    <w:rsid w:val="00A05E18"/>
    <w:rsid w:val="00A06140"/>
    <w:rsid w:val="00A06789"/>
    <w:rsid w:val="00A06A2F"/>
    <w:rsid w:val="00A06B51"/>
    <w:rsid w:val="00A06F3F"/>
    <w:rsid w:val="00A07031"/>
    <w:rsid w:val="00A07A23"/>
    <w:rsid w:val="00A07D3F"/>
    <w:rsid w:val="00A12F0E"/>
    <w:rsid w:val="00A131B4"/>
    <w:rsid w:val="00A1384E"/>
    <w:rsid w:val="00A13AC1"/>
    <w:rsid w:val="00A13F3A"/>
    <w:rsid w:val="00A1427D"/>
    <w:rsid w:val="00A14A49"/>
    <w:rsid w:val="00A15953"/>
    <w:rsid w:val="00A159F3"/>
    <w:rsid w:val="00A162FC"/>
    <w:rsid w:val="00A16557"/>
    <w:rsid w:val="00A168E1"/>
    <w:rsid w:val="00A1750E"/>
    <w:rsid w:val="00A200B3"/>
    <w:rsid w:val="00A20355"/>
    <w:rsid w:val="00A20C30"/>
    <w:rsid w:val="00A21AB3"/>
    <w:rsid w:val="00A21FC4"/>
    <w:rsid w:val="00A22798"/>
    <w:rsid w:val="00A22AFB"/>
    <w:rsid w:val="00A22DE7"/>
    <w:rsid w:val="00A232E3"/>
    <w:rsid w:val="00A237B1"/>
    <w:rsid w:val="00A23A3E"/>
    <w:rsid w:val="00A23C26"/>
    <w:rsid w:val="00A23D9A"/>
    <w:rsid w:val="00A2421C"/>
    <w:rsid w:val="00A24821"/>
    <w:rsid w:val="00A248C2"/>
    <w:rsid w:val="00A24969"/>
    <w:rsid w:val="00A25024"/>
    <w:rsid w:val="00A255DF"/>
    <w:rsid w:val="00A25AF1"/>
    <w:rsid w:val="00A25E4E"/>
    <w:rsid w:val="00A26695"/>
    <w:rsid w:val="00A27892"/>
    <w:rsid w:val="00A30E6B"/>
    <w:rsid w:val="00A31328"/>
    <w:rsid w:val="00A31573"/>
    <w:rsid w:val="00A31D00"/>
    <w:rsid w:val="00A31EEA"/>
    <w:rsid w:val="00A3246F"/>
    <w:rsid w:val="00A329AF"/>
    <w:rsid w:val="00A32DE6"/>
    <w:rsid w:val="00A32E80"/>
    <w:rsid w:val="00A32E88"/>
    <w:rsid w:val="00A331A6"/>
    <w:rsid w:val="00A3337D"/>
    <w:rsid w:val="00A33BC5"/>
    <w:rsid w:val="00A33C7D"/>
    <w:rsid w:val="00A33CF7"/>
    <w:rsid w:val="00A33EEA"/>
    <w:rsid w:val="00A340E6"/>
    <w:rsid w:val="00A34368"/>
    <w:rsid w:val="00A3458A"/>
    <w:rsid w:val="00A346ED"/>
    <w:rsid w:val="00A34929"/>
    <w:rsid w:val="00A34B9B"/>
    <w:rsid w:val="00A35149"/>
    <w:rsid w:val="00A35E31"/>
    <w:rsid w:val="00A377C0"/>
    <w:rsid w:val="00A377DF"/>
    <w:rsid w:val="00A4000D"/>
    <w:rsid w:val="00A401FD"/>
    <w:rsid w:val="00A40488"/>
    <w:rsid w:val="00A40D1C"/>
    <w:rsid w:val="00A4144B"/>
    <w:rsid w:val="00A41C5C"/>
    <w:rsid w:val="00A41C99"/>
    <w:rsid w:val="00A4233D"/>
    <w:rsid w:val="00A4241D"/>
    <w:rsid w:val="00A426A8"/>
    <w:rsid w:val="00A42F50"/>
    <w:rsid w:val="00A4329D"/>
    <w:rsid w:val="00A43499"/>
    <w:rsid w:val="00A4358F"/>
    <w:rsid w:val="00A439E0"/>
    <w:rsid w:val="00A43F62"/>
    <w:rsid w:val="00A44151"/>
    <w:rsid w:val="00A44A87"/>
    <w:rsid w:val="00A44C17"/>
    <w:rsid w:val="00A45217"/>
    <w:rsid w:val="00A45B8A"/>
    <w:rsid w:val="00A4634F"/>
    <w:rsid w:val="00A46A9D"/>
    <w:rsid w:val="00A47080"/>
    <w:rsid w:val="00A475B2"/>
    <w:rsid w:val="00A50433"/>
    <w:rsid w:val="00A50762"/>
    <w:rsid w:val="00A5076B"/>
    <w:rsid w:val="00A50BDC"/>
    <w:rsid w:val="00A50FD4"/>
    <w:rsid w:val="00A51CF3"/>
    <w:rsid w:val="00A52706"/>
    <w:rsid w:val="00A531CD"/>
    <w:rsid w:val="00A535AB"/>
    <w:rsid w:val="00A538DC"/>
    <w:rsid w:val="00A53A38"/>
    <w:rsid w:val="00A53E76"/>
    <w:rsid w:val="00A55C06"/>
    <w:rsid w:val="00A5650C"/>
    <w:rsid w:val="00A56598"/>
    <w:rsid w:val="00A56EC7"/>
    <w:rsid w:val="00A5703E"/>
    <w:rsid w:val="00A5746D"/>
    <w:rsid w:val="00A57D92"/>
    <w:rsid w:val="00A57F82"/>
    <w:rsid w:val="00A606A6"/>
    <w:rsid w:val="00A6087A"/>
    <w:rsid w:val="00A60C8E"/>
    <w:rsid w:val="00A612FF"/>
    <w:rsid w:val="00A61333"/>
    <w:rsid w:val="00A61394"/>
    <w:rsid w:val="00A61920"/>
    <w:rsid w:val="00A6223E"/>
    <w:rsid w:val="00A62394"/>
    <w:rsid w:val="00A62512"/>
    <w:rsid w:val="00A627E3"/>
    <w:rsid w:val="00A63451"/>
    <w:rsid w:val="00A639E3"/>
    <w:rsid w:val="00A63C19"/>
    <w:rsid w:val="00A63FCC"/>
    <w:rsid w:val="00A63FD9"/>
    <w:rsid w:val="00A645FB"/>
    <w:rsid w:val="00A64FD1"/>
    <w:rsid w:val="00A65176"/>
    <w:rsid w:val="00A6632A"/>
    <w:rsid w:val="00A66910"/>
    <w:rsid w:val="00A66F8A"/>
    <w:rsid w:val="00A67010"/>
    <w:rsid w:val="00A67608"/>
    <w:rsid w:val="00A70246"/>
    <w:rsid w:val="00A70554"/>
    <w:rsid w:val="00A70ADA"/>
    <w:rsid w:val="00A70BC3"/>
    <w:rsid w:val="00A70C16"/>
    <w:rsid w:val="00A70DA7"/>
    <w:rsid w:val="00A71920"/>
    <w:rsid w:val="00A71A87"/>
    <w:rsid w:val="00A71B63"/>
    <w:rsid w:val="00A71EFD"/>
    <w:rsid w:val="00A72F22"/>
    <w:rsid w:val="00A73340"/>
    <w:rsid w:val="00A74183"/>
    <w:rsid w:val="00A74541"/>
    <w:rsid w:val="00A74557"/>
    <w:rsid w:val="00A747A4"/>
    <w:rsid w:val="00A748A6"/>
    <w:rsid w:val="00A74F97"/>
    <w:rsid w:val="00A74FFE"/>
    <w:rsid w:val="00A754CC"/>
    <w:rsid w:val="00A75B74"/>
    <w:rsid w:val="00A76862"/>
    <w:rsid w:val="00A768DF"/>
    <w:rsid w:val="00A76B79"/>
    <w:rsid w:val="00A77CC2"/>
    <w:rsid w:val="00A77F0C"/>
    <w:rsid w:val="00A8011B"/>
    <w:rsid w:val="00A815D0"/>
    <w:rsid w:val="00A81CCB"/>
    <w:rsid w:val="00A820E9"/>
    <w:rsid w:val="00A823E8"/>
    <w:rsid w:val="00A83451"/>
    <w:rsid w:val="00A83774"/>
    <w:rsid w:val="00A83FDE"/>
    <w:rsid w:val="00A8417B"/>
    <w:rsid w:val="00A84B31"/>
    <w:rsid w:val="00A84FB5"/>
    <w:rsid w:val="00A85319"/>
    <w:rsid w:val="00A85EF8"/>
    <w:rsid w:val="00A86150"/>
    <w:rsid w:val="00A878CD"/>
    <w:rsid w:val="00A879A4"/>
    <w:rsid w:val="00A87BB8"/>
    <w:rsid w:val="00A87E95"/>
    <w:rsid w:val="00A912C6"/>
    <w:rsid w:val="00A915E8"/>
    <w:rsid w:val="00A916B6"/>
    <w:rsid w:val="00A9176F"/>
    <w:rsid w:val="00A91B9B"/>
    <w:rsid w:val="00A91D0F"/>
    <w:rsid w:val="00A92E29"/>
    <w:rsid w:val="00A93692"/>
    <w:rsid w:val="00A93989"/>
    <w:rsid w:val="00A93ED9"/>
    <w:rsid w:val="00A93EFA"/>
    <w:rsid w:val="00A94272"/>
    <w:rsid w:val="00A94459"/>
    <w:rsid w:val="00A94481"/>
    <w:rsid w:val="00A945D2"/>
    <w:rsid w:val="00A9470C"/>
    <w:rsid w:val="00A9509B"/>
    <w:rsid w:val="00A957FC"/>
    <w:rsid w:val="00A96084"/>
    <w:rsid w:val="00A968E0"/>
    <w:rsid w:val="00A96EB0"/>
    <w:rsid w:val="00A9790F"/>
    <w:rsid w:val="00A97AF4"/>
    <w:rsid w:val="00AA07CC"/>
    <w:rsid w:val="00AA0BFB"/>
    <w:rsid w:val="00AA0D6A"/>
    <w:rsid w:val="00AA1BCD"/>
    <w:rsid w:val="00AA26DA"/>
    <w:rsid w:val="00AA288F"/>
    <w:rsid w:val="00AA2C24"/>
    <w:rsid w:val="00AA351B"/>
    <w:rsid w:val="00AA38B2"/>
    <w:rsid w:val="00AA410A"/>
    <w:rsid w:val="00AA43DF"/>
    <w:rsid w:val="00AA4731"/>
    <w:rsid w:val="00AA49F0"/>
    <w:rsid w:val="00AA4E41"/>
    <w:rsid w:val="00AA62FA"/>
    <w:rsid w:val="00AA6637"/>
    <w:rsid w:val="00AA674E"/>
    <w:rsid w:val="00AA7348"/>
    <w:rsid w:val="00AA7350"/>
    <w:rsid w:val="00AB09B4"/>
    <w:rsid w:val="00AB0A83"/>
    <w:rsid w:val="00AB1C98"/>
    <w:rsid w:val="00AB20D7"/>
    <w:rsid w:val="00AB236F"/>
    <w:rsid w:val="00AB32D3"/>
    <w:rsid w:val="00AB32ED"/>
    <w:rsid w:val="00AB3499"/>
    <w:rsid w:val="00AB359F"/>
    <w:rsid w:val="00AB37F8"/>
    <w:rsid w:val="00AB42AB"/>
    <w:rsid w:val="00AB4871"/>
    <w:rsid w:val="00AB4FC7"/>
    <w:rsid w:val="00AB64B7"/>
    <w:rsid w:val="00AB6D51"/>
    <w:rsid w:val="00AC0286"/>
    <w:rsid w:val="00AC04C0"/>
    <w:rsid w:val="00AC05AC"/>
    <w:rsid w:val="00AC28DE"/>
    <w:rsid w:val="00AC2EFA"/>
    <w:rsid w:val="00AC2F7C"/>
    <w:rsid w:val="00AC30DF"/>
    <w:rsid w:val="00AC335D"/>
    <w:rsid w:val="00AC3631"/>
    <w:rsid w:val="00AC3694"/>
    <w:rsid w:val="00AC3872"/>
    <w:rsid w:val="00AC3FBC"/>
    <w:rsid w:val="00AC4064"/>
    <w:rsid w:val="00AC4407"/>
    <w:rsid w:val="00AC48BF"/>
    <w:rsid w:val="00AC4D6C"/>
    <w:rsid w:val="00AC5173"/>
    <w:rsid w:val="00AC53E9"/>
    <w:rsid w:val="00AC5527"/>
    <w:rsid w:val="00AC5529"/>
    <w:rsid w:val="00AC5564"/>
    <w:rsid w:val="00AC5A00"/>
    <w:rsid w:val="00AC5B48"/>
    <w:rsid w:val="00AC608B"/>
    <w:rsid w:val="00AC6543"/>
    <w:rsid w:val="00AC6840"/>
    <w:rsid w:val="00AC68B6"/>
    <w:rsid w:val="00AC692E"/>
    <w:rsid w:val="00AC6FAD"/>
    <w:rsid w:val="00AC7031"/>
    <w:rsid w:val="00AC72B3"/>
    <w:rsid w:val="00AC78F2"/>
    <w:rsid w:val="00AD03D0"/>
    <w:rsid w:val="00AD072C"/>
    <w:rsid w:val="00AD09E9"/>
    <w:rsid w:val="00AD13A5"/>
    <w:rsid w:val="00AD149E"/>
    <w:rsid w:val="00AD150C"/>
    <w:rsid w:val="00AD1625"/>
    <w:rsid w:val="00AD193C"/>
    <w:rsid w:val="00AD1F47"/>
    <w:rsid w:val="00AD217D"/>
    <w:rsid w:val="00AD24C7"/>
    <w:rsid w:val="00AD26F3"/>
    <w:rsid w:val="00AD30F9"/>
    <w:rsid w:val="00AD3276"/>
    <w:rsid w:val="00AD39B9"/>
    <w:rsid w:val="00AD3FA9"/>
    <w:rsid w:val="00AD49BD"/>
    <w:rsid w:val="00AD5387"/>
    <w:rsid w:val="00AD6151"/>
    <w:rsid w:val="00AD679E"/>
    <w:rsid w:val="00AD68D9"/>
    <w:rsid w:val="00AD6EC7"/>
    <w:rsid w:val="00AD7374"/>
    <w:rsid w:val="00AD7783"/>
    <w:rsid w:val="00AD79C3"/>
    <w:rsid w:val="00AE0955"/>
    <w:rsid w:val="00AE0E1D"/>
    <w:rsid w:val="00AE1491"/>
    <w:rsid w:val="00AE159C"/>
    <w:rsid w:val="00AE1CF8"/>
    <w:rsid w:val="00AE1EBE"/>
    <w:rsid w:val="00AE23A8"/>
    <w:rsid w:val="00AE2C59"/>
    <w:rsid w:val="00AE3364"/>
    <w:rsid w:val="00AE3959"/>
    <w:rsid w:val="00AE453A"/>
    <w:rsid w:val="00AE5AF3"/>
    <w:rsid w:val="00AE5D8C"/>
    <w:rsid w:val="00AE6009"/>
    <w:rsid w:val="00AE662D"/>
    <w:rsid w:val="00AE69CF"/>
    <w:rsid w:val="00AE6F7D"/>
    <w:rsid w:val="00AF0576"/>
    <w:rsid w:val="00AF07A1"/>
    <w:rsid w:val="00AF0B59"/>
    <w:rsid w:val="00AF0F17"/>
    <w:rsid w:val="00AF118D"/>
    <w:rsid w:val="00AF1409"/>
    <w:rsid w:val="00AF1C45"/>
    <w:rsid w:val="00AF26A8"/>
    <w:rsid w:val="00AF28C2"/>
    <w:rsid w:val="00AF2D6C"/>
    <w:rsid w:val="00AF2F93"/>
    <w:rsid w:val="00AF36D0"/>
    <w:rsid w:val="00AF37C9"/>
    <w:rsid w:val="00AF3829"/>
    <w:rsid w:val="00AF3A72"/>
    <w:rsid w:val="00AF3CE9"/>
    <w:rsid w:val="00AF4348"/>
    <w:rsid w:val="00AF43B8"/>
    <w:rsid w:val="00AF4893"/>
    <w:rsid w:val="00AF5143"/>
    <w:rsid w:val="00AF5AE0"/>
    <w:rsid w:val="00AF5CC6"/>
    <w:rsid w:val="00AF5F00"/>
    <w:rsid w:val="00AF5FCF"/>
    <w:rsid w:val="00AF6117"/>
    <w:rsid w:val="00AF66C2"/>
    <w:rsid w:val="00AF6826"/>
    <w:rsid w:val="00AF6ACA"/>
    <w:rsid w:val="00AF7344"/>
    <w:rsid w:val="00B00815"/>
    <w:rsid w:val="00B00880"/>
    <w:rsid w:val="00B0089C"/>
    <w:rsid w:val="00B00D8C"/>
    <w:rsid w:val="00B01252"/>
    <w:rsid w:val="00B037F0"/>
    <w:rsid w:val="00B03CFD"/>
    <w:rsid w:val="00B03DF2"/>
    <w:rsid w:val="00B047D3"/>
    <w:rsid w:val="00B04DED"/>
    <w:rsid w:val="00B05969"/>
    <w:rsid w:val="00B05A96"/>
    <w:rsid w:val="00B05B50"/>
    <w:rsid w:val="00B05D01"/>
    <w:rsid w:val="00B064CA"/>
    <w:rsid w:val="00B0723B"/>
    <w:rsid w:val="00B07B3E"/>
    <w:rsid w:val="00B07C91"/>
    <w:rsid w:val="00B10E8D"/>
    <w:rsid w:val="00B117A4"/>
    <w:rsid w:val="00B11C04"/>
    <w:rsid w:val="00B1285B"/>
    <w:rsid w:val="00B1285C"/>
    <w:rsid w:val="00B14B42"/>
    <w:rsid w:val="00B150E8"/>
    <w:rsid w:val="00B165B2"/>
    <w:rsid w:val="00B171F5"/>
    <w:rsid w:val="00B1744E"/>
    <w:rsid w:val="00B17814"/>
    <w:rsid w:val="00B20271"/>
    <w:rsid w:val="00B20D12"/>
    <w:rsid w:val="00B21C63"/>
    <w:rsid w:val="00B22A41"/>
    <w:rsid w:val="00B22C32"/>
    <w:rsid w:val="00B22E2B"/>
    <w:rsid w:val="00B2327D"/>
    <w:rsid w:val="00B235E5"/>
    <w:rsid w:val="00B236D0"/>
    <w:rsid w:val="00B239D2"/>
    <w:rsid w:val="00B24588"/>
    <w:rsid w:val="00B24AC7"/>
    <w:rsid w:val="00B24EA8"/>
    <w:rsid w:val="00B24EB0"/>
    <w:rsid w:val="00B254E4"/>
    <w:rsid w:val="00B255C8"/>
    <w:rsid w:val="00B2603F"/>
    <w:rsid w:val="00B26433"/>
    <w:rsid w:val="00B265B9"/>
    <w:rsid w:val="00B26672"/>
    <w:rsid w:val="00B26B02"/>
    <w:rsid w:val="00B2718F"/>
    <w:rsid w:val="00B3008E"/>
    <w:rsid w:val="00B30179"/>
    <w:rsid w:val="00B30A4C"/>
    <w:rsid w:val="00B30BB2"/>
    <w:rsid w:val="00B30BDE"/>
    <w:rsid w:val="00B30DFB"/>
    <w:rsid w:val="00B31DC9"/>
    <w:rsid w:val="00B31F0F"/>
    <w:rsid w:val="00B32F3F"/>
    <w:rsid w:val="00B3317B"/>
    <w:rsid w:val="00B333AA"/>
    <w:rsid w:val="00B334DC"/>
    <w:rsid w:val="00B33931"/>
    <w:rsid w:val="00B3410F"/>
    <w:rsid w:val="00B3467D"/>
    <w:rsid w:val="00B346F9"/>
    <w:rsid w:val="00B35048"/>
    <w:rsid w:val="00B35864"/>
    <w:rsid w:val="00B35D18"/>
    <w:rsid w:val="00B35FA8"/>
    <w:rsid w:val="00B3617A"/>
    <w:rsid w:val="00B3631A"/>
    <w:rsid w:val="00B3632D"/>
    <w:rsid w:val="00B363E4"/>
    <w:rsid w:val="00B366D5"/>
    <w:rsid w:val="00B374A1"/>
    <w:rsid w:val="00B374F8"/>
    <w:rsid w:val="00B375C2"/>
    <w:rsid w:val="00B37A57"/>
    <w:rsid w:val="00B40020"/>
    <w:rsid w:val="00B413E6"/>
    <w:rsid w:val="00B42087"/>
    <w:rsid w:val="00B4276E"/>
    <w:rsid w:val="00B42BAB"/>
    <w:rsid w:val="00B42FCD"/>
    <w:rsid w:val="00B430C8"/>
    <w:rsid w:val="00B43129"/>
    <w:rsid w:val="00B43698"/>
    <w:rsid w:val="00B4429C"/>
    <w:rsid w:val="00B451C6"/>
    <w:rsid w:val="00B45647"/>
    <w:rsid w:val="00B45E30"/>
    <w:rsid w:val="00B46405"/>
    <w:rsid w:val="00B46B2C"/>
    <w:rsid w:val="00B46F70"/>
    <w:rsid w:val="00B471D3"/>
    <w:rsid w:val="00B478D9"/>
    <w:rsid w:val="00B47A59"/>
    <w:rsid w:val="00B47D41"/>
    <w:rsid w:val="00B47E64"/>
    <w:rsid w:val="00B47E96"/>
    <w:rsid w:val="00B5042E"/>
    <w:rsid w:val="00B50450"/>
    <w:rsid w:val="00B505FD"/>
    <w:rsid w:val="00B5191F"/>
    <w:rsid w:val="00B51BF7"/>
    <w:rsid w:val="00B51DD0"/>
    <w:rsid w:val="00B52A14"/>
    <w:rsid w:val="00B52DD9"/>
    <w:rsid w:val="00B53013"/>
    <w:rsid w:val="00B530D5"/>
    <w:rsid w:val="00B53163"/>
    <w:rsid w:val="00B536C0"/>
    <w:rsid w:val="00B539A0"/>
    <w:rsid w:val="00B54B8A"/>
    <w:rsid w:val="00B54C5B"/>
    <w:rsid w:val="00B55163"/>
    <w:rsid w:val="00B55C14"/>
    <w:rsid w:val="00B56AD4"/>
    <w:rsid w:val="00B56B3E"/>
    <w:rsid w:val="00B57245"/>
    <w:rsid w:val="00B57812"/>
    <w:rsid w:val="00B57949"/>
    <w:rsid w:val="00B60402"/>
    <w:rsid w:val="00B60470"/>
    <w:rsid w:val="00B611CB"/>
    <w:rsid w:val="00B61BCA"/>
    <w:rsid w:val="00B61DED"/>
    <w:rsid w:val="00B625DA"/>
    <w:rsid w:val="00B62BDF"/>
    <w:rsid w:val="00B62C70"/>
    <w:rsid w:val="00B62E02"/>
    <w:rsid w:val="00B62F28"/>
    <w:rsid w:val="00B63134"/>
    <w:rsid w:val="00B6319E"/>
    <w:rsid w:val="00B64AD2"/>
    <w:rsid w:val="00B64FFE"/>
    <w:rsid w:val="00B65737"/>
    <w:rsid w:val="00B65AA8"/>
    <w:rsid w:val="00B66055"/>
    <w:rsid w:val="00B67532"/>
    <w:rsid w:val="00B675F2"/>
    <w:rsid w:val="00B67F5E"/>
    <w:rsid w:val="00B70356"/>
    <w:rsid w:val="00B70B34"/>
    <w:rsid w:val="00B70B69"/>
    <w:rsid w:val="00B70DDD"/>
    <w:rsid w:val="00B71142"/>
    <w:rsid w:val="00B71173"/>
    <w:rsid w:val="00B7140C"/>
    <w:rsid w:val="00B71751"/>
    <w:rsid w:val="00B717F9"/>
    <w:rsid w:val="00B72BA8"/>
    <w:rsid w:val="00B72BD7"/>
    <w:rsid w:val="00B72EE5"/>
    <w:rsid w:val="00B72F4D"/>
    <w:rsid w:val="00B7344D"/>
    <w:rsid w:val="00B7361E"/>
    <w:rsid w:val="00B73781"/>
    <w:rsid w:val="00B73972"/>
    <w:rsid w:val="00B73B46"/>
    <w:rsid w:val="00B73D17"/>
    <w:rsid w:val="00B73E65"/>
    <w:rsid w:val="00B74E76"/>
    <w:rsid w:val="00B7544C"/>
    <w:rsid w:val="00B75A64"/>
    <w:rsid w:val="00B75EB5"/>
    <w:rsid w:val="00B7648B"/>
    <w:rsid w:val="00B76ABE"/>
    <w:rsid w:val="00B76D26"/>
    <w:rsid w:val="00B773F5"/>
    <w:rsid w:val="00B77438"/>
    <w:rsid w:val="00B77974"/>
    <w:rsid w:val="00B804CF"/>
    <w:rsid w:val="00B81172"/>
    <w:rsid w:val="00B818B2"/>
    <w:rsid w:val="00B81E12"/>
    <w:rsid w:val="00B8233B"/>
    <w:rsid w:val="00B82BCA"/>
    <w:rsid w:val="00B82BEC"/>
    <w:rsid w:val="00B82F5F"/>
    <w:rsid w:val="00B83B21"/>
    <w:rsid w:val="00B84012"/>
    <w:rsid w:val="00B8466A"/>
    <w:rsid w:val="00B84BA1"/>
    <w:rsid w:val="00B85B83"/>
    <w:rsid w:val="00B86903"/>
    <w:rsid w:val="00B86DBE"/>
    <w:rsid w:val="00B87110"/>
    <w:rsid w:val="00B90329"/>
    <w:rsid w:val="00B90566"/>
    <w:rsid w:val="00B90831"/>
    <w:rsid w:val="00B90D54"/>
    <w:rsid w:val="00B91988"/>
    <w:rsid w:val="00B91A02"/>
    <w:rsid w:val="00B926CD"/>
    <w:rsid w:val="00B92E87"/>
    <w:rsid w:val="00B931BC"/>
    <w:rsid w:val="00B93FB8"/>
    <w:rsid w:val="00B940A1"/>
    <w:rsid w:val="00B948FC"/>
    <w:rsid w:val="00B95150"/>
    <w:rsid w:val="00B9538A"/>
    <w:rsid w:val="00B95785"/>
    <w:rsid w:val="00B95C38"/>
    <w:rsid w:val="00B96D42"/>
    <w:rsid w:val="00B9706C"/>
    <w:rsid w:val="00B97721"/>
    <w:rsid w:val="00B97827"/>
    <w:rsid w:val="00B979DE"/>
    <w:rsid w:val="00B97A46"/>
    <w:rsid w:val="00B97FA8"/>
    <w:rsid w:val="00BA064C"/>
    <w:rsid w:val="00BA0782"/>
    <w:rsid w:val="00BA08B8"/>
    <w:rsid w:val="00BA08F3"/>
    <w:rsid w:val="00BA09BB"/>
    <w:rsid w:val="00BA1B2A"/>
    <w:rsid w:val="00BA1D47"/>
    <w:rsid w:val="00BA209D"/>
    <w:rsid w:val="00BA22F3"/>
    <w:rsid w:val="00BA2E1D"/>
    <w:rsid w:val="00BA3663"/>
    <w:rsid w:val="00BA3712"/>
    <w:rsid w:val="00BA3AB3"/>
    <w:rsid w:val="00BA3B72"/>
    <w:rsid w:val="00BA3BEE"/>
    <w:rsid w:val="00BA40CE"/>
    <w:rsid w:val="00BA580A"/>
    <w:rsid w:val="00BA5A46"/>
    <w:rsid w:val="00BA5F6A"/>
    <w:rsid w:val="00BA62E6"/>
    <w:rsid w:val="00BA664F"/>
    <w:rsid w:val="00BA66C6"/>
    <w:rsid w:val="00BB06FE"/>
    <w:rsid w:val="00BB12DC"/>
    <w:rsid w:val="00BB14D5"/>
    <w:rsid w:val="00BB17A6"/>
    <w:rsid w:val="00BB187A"/>
    <w:rsid w:val="00BB1B1F"/>
    <w:rsid w:val="00BB1D31"/>
    <w:rsid w:val="00BB264E"/>
    <w:rsid w:val="00BB2691"/>
    <w:rsid w:val="00BB2A1F"/>
    <w:rsid w:val="00BB31A7"/>
    <w:rsid w:val="00BB3AFC"/>
    <w:rsid w:val="00BB3E92"/>
    <w:rsid w:val="00BB4D2C"/>
    <w:rsid w:val="00BB52B4"/>
    <w:rsid w:val="00BB5D31"/>
    <w:rsid w:val="00BB60B4"/>
    <w:rsid w:val="00BC04AB"/>
    <w:rsid w:val="00BC0F96"/>
    <w:rsid w:val="00BC10FA"/>
    <w:rsid w:val="00BC11AD"/>
    <w:rsid w:val="00BC1385"/>
    <w:rsid w:val="00BC15B1"/>
    <w:rsid w:val="00BC177C"/>
    <w:rsid w:val="00BC1A39"/>
    <w:rsid w:val="00BC1F83"/>
    <w:rsid w:val="00BC2324"/>
    <w:rsid w:val="00BC2787"/>
    <w:rsid w:val="00BC2952"/>
    <w:rsid w:val="00BC29B8"/>
    <w:rsid w:val="00BC2DAD"/>
    <w:rsid w:val="00BC2E2C"/>
    <w:rsid w:val="00BC3282"/>
    <w:rsid w:val="00BC377F"/>
    <w:rsid w:val="00BC38F1"/>
    <w:rsid w:val="00BC3A63"/>
    <w:rsid w:val="00BC3D53"/>
    <w:rsid w:val="00BC445C"/>
    <w:rsid w:val="00BC46F1"/>
    <w:rsid w:val="00BC4A14"/>
    <w:rsid w:val="00BC4EE5"/>
    <w:rsid w:val="00BC4F31"/>
    <w:rsid w:val="00BC5327"/>
    <w:rsid w:val="00BC5D8E"/>
    <w:rsid w:val="00BC5FFA"/>
    <w:rsid w:val="00BC70A2"/>
    <w:rsid w:val="00BC74E9"/>
    <w:rsid w:val="00BD1AC0"/>
    <w:rsid w:val="00BD1DF6"/>
    <w:rsid w:val="00BD2558"/>
    <w:rsid w:val="00BD30F2"/>
    <w:rsid w:val="00BD36E9"/>
    <w:rsid w:val="00BD3A0D"/>
    <w:rsid w:val="00BD44CB"/>
    <w:rsid w:val="00BD5258"/>
    <w:rsid w:val="00BD5953"/>
    <w:rsid w:val="00BD5E64"/>
    <w:rsid w:val="00BD71A6"/>
    <w:rsid w:val="00BD785B"/>
    <w:rsid w:val="00BE0597"/>
    <w:rsid w:val="00BE07FB"/>
    <w:rsid w:val="00BE08B4"/>
    <w:rsid w:val="00BE17C9"/>
    <w:rsid w:val="00BE2DCB"/>
    <w:rsid w:val="00BE310B"/>
    <w:rsid w:val="00BE350D"/>
    <w:rsid w:val="00BE4DE3"/>
    <w:rsid w:val="00BE55E1"/>
    <w:rsid w:val="00BE618E"/>
    <w:rsid w:val="00BE6954"/>
    <w:rsid w:val="00BE7305"/>
    <w:rsid w:val="00BF01AE"/>
    <w:rsid w:val="00BF0722"/>
    <w:rsid w:val="00BF0B2B"/>
    <w:rsid w:val="00BF0C0F"/>
    <w:rsid w:val="00BF0DB9"/>
    <w:rsid w:val="00BF1313"/>
    <w:rsid w:val="00BF15A3"/>
    <w:rsid w:val="00BF2844"/>
    <w:rsid w:val="00BF30A2"/>
    <w:rsid w:val="00BF322B"/>
    <w:rsid w:val="00BF34FB"/>
    <w:rsid w:val="00BF3C5C"/>
    <w:rsid w:val="00BF4131"/>
    <w:rsid w:val="00BF4A92"/>
    <w:rsid w:val="00BF4EBA"/>
    <w:rsid w:val="00BF5031"/>
    <w:rsid w:val="00BF50FA"/>
    <w:rsid w:val="00BF5554"/>
    <w:rsid w:val="00BF5849"/>
    <w:rsid w:val="00BF618C"/>
    <w:rsid w:val="00BF6495"/>
    <w:rsid w:val="00BF659F"/>
    <w:rsid w:val="00BF67B2"/>
    <w:rsid w:val="00BF7097"/>
    <w:rsid w:val="00C00249"/>
    <w:rsid w:val="00C00525"/>
    <w:rsid w:val="00C0087C"/>
    <w:rsid w:val="00C013E2"/>
    <w:rsid w:val="00C01B6E"/>
    <w:rsid w:val="00C0221A"/>
    <w:rsid w:val="00C02354"/>
    <w:rsid w:val="00C023F4"/>
    <w:rsid w:val="00C027BE"/>
    <w:rsid w:val="00C02A5C"/>
    <w:rsid w:val="00C0301B"/>
    <w:rsid w:val="00C033A7"/>
    <w:rsid w:val="00C033BF"/>
    <w:rsid w:val="00C034AB"/>
    <w:rsid w:val="00C03965"/>
    <w:rsid w:val="00C04B74"/>
    <w:rsid w:val="00C053AF"/>
    <w:rsid w:val="00C05B73"/>
    <w:rsid w:val="00C05E15"/>
    <w:rsid w:val="00C05F5C"/>
    <w:rsid w:val="00C061A6"/>
    <w:rsid w:val="00C06D6A"/>
    <w:rsid w:val="00C06F1C"/>
    <w:rsid w:val="00C07C93"/>
    <w:rsid w:val="00C11214"/>
    <w:rsid w:val="00C1126A"/>
    <w:rsid w:val="00C1170B"/>
    <w:rsid w:val="00C117CC"/>
    <w:rsid w:val="00C11D4F"/>
    <w:rsid w:val="00C12010"/>
    <w:rsid w:val="00C12672"/>
    <w:rsid w:val="00C12C0E"/>
    <w:rsid w:val="00C12E62"/>
    <w:rsid w:val="00C12F1C"/>
    <w:rsid w:val="00C12F55"/>
    <w:rsid w:val="00C12FBD"/>
    <w:rsid w:val="00C13158"/>
    <w:rsid w:val="00C131EC"/>
    <w:rsid w:val="00C1328C"/>
    <w:rsid w:val="00C1355F"/>
    <w:rsid w:val="00C13688"/>
    <w:rsid w:val="00C1402C"/>
    <w:rsid w:val="00C141DC"/>
    <w:rsid w:val="00C1462B"/>
    <w:rsid w:val="00C14782"/>
    <w:rsid w:val="00C15C1D"/>
    <w:rsid w:val="00C15DBB"/>
    <w:rsid w:val="00C162EF"/>
    <w:rsid w:val="00C16373"/>
    <w:rsid w:val="00C16C51"/>
    <w:rsid w:val="00C170C1"/>
    <w:rsid w:val="00C1738D"/>
    <w:rsid w:val="00C20721"/>
    <w:rsid w:val="00C211AF"/>
    <w:rsid w:val="00C21DB2"/>
    <w:rsid w:val="00C23261"/>
    <w:rsid w:val="00C233B3"/>
    <w:rsid w:val="00C24110"/>
    <w:rsid w:val="00C24504"/>
    <w:rsid w:val="00C24615"/>
    <w:rsid w:val="00C24693"/>
    <w:rsid w:val="00C24A8B"/>
    <w:rsid w:val="00C24CE4"/>
    <w:rsid w:val="00C25859"/>
    <w:rsid w:val="00C25A2D"/>
    <w:rsid w:val="00C25F9A"/>
    <w:rsid w:val="00C26BF9"/>
    <w:rsid w:val="00C27425"/>
    <w:rsid w:val="00C27B60"/>
    <w:rsid w:val="00C309F9"/>
    <w:rsid w:val="00C30EFA"/>
    <w:rsid w:val="00C31751"/>
    <w:rsid w:val="00C3199B"/>
    <w:rsid w:val="00C31A18"/>
    <w:rsid w:val="00C31D85"/>
    <w:rsid w:val="00C31EF6"/>
    <w:rsid w:val="00C33853"/>
    <w:rsid w:val="00C33ADB"/>
    <w:rsid w:val="00C3433E"/>
    <w:rsid w:val="00C343FB"/>
    <w:rsid w:val="00C34A8D"/>
    <w:rsid w:val="00C34B22"/>
    <w:rsid w:val="00C35F0B"/>
    <w:rsid w:val="00C35F16"/>
    <w:rsid w:val="00C36660"/>
    <w:rsid w:val="00C37161"/>
    <w:rsid w:val="00C37242"/>
    <w:rsid w:val="00C374E2"/>
    <w:rsid w:val="00C37CCF"/>
    <w:rsid w:val="00C37ECE"/>
    <w:rsid w:val="00C401F6"/>
    <w:rsid w:val="00C4055C"/>
    <w:rsid w:val="00C406C7"/>
    <w:rsid w:val="00C4078F"/>
    <w:rsid w:val="00C4114B"/>
    <w:rsid w:val="00C4136F"/>
    <w:rsid w:val="00C41899"/>
    <w:rsid w:val="00C41DAA"/>
    <w:rsid w:val="00C42084"/>
    <w:rsid w:val="00C42BA6"/>
    <w:rsid w:val="00C431C3"/>
    <w:rsid w:val="00C435E0"/>
    <w:rsid w:val="00C43B6F"/>
    <w:rsid w:val="00C442CD"/>
    <w:rsid w:val="00C463DD"/>
    <w:rsid w:val="00C47102"/>
    <w:rsid w:val="00C47C1A"/>
    <w:rsid w:val="00C50183"/>
    <w:rsid w:val="00C50347"/>
    <w:rsid w:val="00C503D0"/>
    <w:rsid w:val="00C5059D"/>
    <w:rsid w:val="00C50BFB"/>
    <w:rsid w:val="00C50DD2"/>
    <w:rsid w:val="00C51592"/>
    <w:rsid w:val="00C51675"/>
    <w:rsid w:val="00C518DB"/>
    <w:rsid w:val="00C51D34"/>
    <w:rsid w:val="00C51D90"/>
    <w:rsid w:val="00C51EC4"/>
    <w:rsid w:val="00C52150"/>
    <w:rsid w:val="00C52C8F"/>
    <w:rsid w:val="00C52F48"/>
    <w:rsid w:val="00C53102"/>
    <w:rsid w:val="00C5389A"/>
    <w:rsid w:val="00C53935"/>
    <w:rsid w:val="00C53ADC"/>
    <w:rsid w:val="00C542A7"/>
    <w:rsid w:val="00C543CE"/>
    <w:rsid w:val="00C54D16"/>
    <w:rsid w:val="00C55044"/>
    <w:rsid w:val="00C55122"/>
    <w:rsid w:val="00C55266"/>
    <w:rsid w:val="00C55846"/>
    <w:rsid w:val="00C55EE1"/>
    <w:rsid w:val="00C561A3"/>
    <w:rsid w:val="00C56DAA"/>
    <w:rsid w:val="00C571A8"/>
    <w:rsid w:val="00C57832"/>
    <w:rsid w:val="00C57D18"/>
    <w:rsid w:val="00C6006B"/>
    <w:rsid w:val="00C60C2B"/>
    <w:rsid w:val="00C61101"/>
    <w:rsid w:val="00C614DC"/>
    <w:rsid w:val="00C61DCB"/>
    <w:rsid w:val="00C61DDD"/>
    <w:rsid w:val="00C61E17"/>
    <w:rsid w:val="00C61F4E"/>
    <w:rsid w:val="00C62007"/>
    <w:rsid w:val="00C62126"/>
    <w:rsid w:val="00C62238"/>
    <w:rsid w:val="00C626B4"/>
    <w:rsid w:val="00C62769"/>
    <w:rsid w:val="00C62DE8"/>
    <w:rsid w:val="00C63444"/>
    <w:rsid w:val="00C63F6D"/>
    <w:rsid w:val="00C64458"/>
    <w:rsid w:val="00C644E3"/>
    <w:rsid w:val="00C651DD"/>
    <w:rsid w:val="00C65382"/>
    <w:rsid w:val="00C653AB"/>
    <w:rsid w:val="00C6545F"/>
    <w:rsid w:val="00C657F7"/>
    <w:rsid w:val="00C65863"/>
    <w:rsid w:val="00C6597B"/>
    <w:rsid w:val="00C65A97"/>
    <w:rsid w:val="00C65BD0"/>
    <w:rsid w:val="00C65D06"/>
    <w:rsid w:val="00C66314"/>
    <w:rsid w:val="00C6663F"/>
    <w:rsid w:val="00C6670F"/>
    <w:rsid w:val="00C66CC9"/>
    <w:rsid w:val="00C67751"/>
    <w:rsid w:val="00C70772"/>
    <w:rsid w:val="00C710B9"/>
    <w:rsid w:val="00C712C3"/>
    <w:rsid w:val="00C7134B"/>
    <w:rsid w:val="00C7230F"/>
    <w:rsid w:val="00C72558"/>
    <w:rsid w:val="00C72F10"/>
    <w:rsid w:val="00C7358C"/>
    <w:rsid w:val="00C73CB7"/>
    <w:rsid w:val="00C73F0D"/>
    <w:rsid w:val="00C745C3"/>
    <w:rsid w:val="00C74A5E"/>
    <w:rsid w:val="00C74D9A"/>
    <w:rsid w:val="00C74DB0"/>
    <w:rsid w:val="00C7552D"/>
    <w:rsid w:val="00C759B0"/>
    <w:rsid w:val="00C76BAD"/>
    <w:rsid w:val="00C76DAB"/>
    <w:rsid w:val="00C77348"/>
    <w:rsid w:val="00C77419"/>
    <w:rsid w:val="00C77988"/>
    <w:rsid w:val="00C77CB7"/>
    <w:rsid w:val="00C77F06"/>
    <w:rsid w:val="00C805FD"/>
    <w:rsid w:val="00C8084F"/>
    <w:rsid w:val="00C814F8"/>
    <w:rsid w:val="00C81A19"/>
    <w:rsid w:val="00C81A8A"/>
    <w:rsid w:val="00C81AAB"/>
    <w:rsid w:val="00C81D8C"/>
    <w:rsid w:val="00C81E2C"/>
    <w:rsid w:val="00C8437A"/>
    <w:rsid w:val="00C84438"/>
    <w:rsid w:val="00C84A4E"/>
    <w:rsid w:val="00C86089"/>
    <w:rsid w:val="00C86658"/>
    <w:rsid w:val="00C8671A"/>
    <w:rsid w:val="00C86C17"/>
    <w:rsid w:val="00C8703F"/>
    <w:rsid w:val="00C8791C"/>
    <w:rsid w:val="00C87B3A"/>
    <w:rsid w:val="00C87F7C"/>
    <w:rsid w:val="00C906C2"/>
    <w:rsid w:val="00C90B36"/>
    <w:rsid w:val="00C90C97"/>
    <w:rsid w:val="00C90EA8"/>
    <w:rsid w:val="00C910DC"/>
    <w:rsid w:val="00C91123"/>
    <w:rsid w:val="00C918F5"/>
    <w:rsid w:val="00C91C52"/>
    <w:rsid w:val="00C921AB"/>
    <w:rsid w:val="00C93132"/>
    <w:rsid w:val="00C93271"/>
    <w:rsid w:val="00C93671"/>
    <w:rsid w:val="00C93D7C"/>
    <w:rsid w:val="00C9461F"/>
    <w:rsid w:val="00C9474A"/>
    <w:rsid w:val="00C947F6"/>
    <w:rsid w:val="00C948E6"/>
    <w:rsid w:val="00C94EF0"/>
    <w:rsid w:val="00C957B8"/>
    <w:rsid w:val="00C95AD7"/>
    <w:rsid w:val="00C960FB"/>
    <w:rsid w:val="00C9694C"/>
    <w:rsid w:val="00C96967"/>
    <w:rsid w:val="00C96C9F"/>
    <w:rsid w:val="00C971D6"/>
    <w:rsid w:val="00C9743D"/>
    <w:rsid w:val="00C97747"/>
    <w:rsid w:val="00C9778E"/>
    <w:rsid w:val="00C97F7A"/>
    <w:rsid w:val="00CA01FE"/>
    <w:rsid w:val="00CA05BA"/>
    <w:rsid w:val="00CA1037"/>
    <w:rsid w:val="00CA1107"/>
    <w:rsid w:val="00CA12CA"/>
    <w:rsid w:val="00CA12D6"/>
    <w:rsid w:val="00CA17BE"/>
    <w:rsid w:val="00CA17D5"/>
    <w:rsid w:val="00CA1DBF"/>
    <w:rsid w:val="00CA1EFF"/>
    <w:rsid w:val="00CA23C5"/>
    <w:rsid w:val="00CA288B"/>
    <w:rsid w:val="00CA2A58"/>
    <w:rsid w:val="00CA3110"/>
    <w:rsid w:val="00CA3304"/>
    <w:rsid w:val="00CA3397"/>
    <w:rsid w:val="00CA3496"/>
    <w:rsid w:val="00CA4022"/>
    <w:rsid w:val="00CA464B"/>
    <w:rsid w:val="00CA4C9A"/>
    <w:rsid w:val="00CA4DE6"/>
    <w:rsid w:val="00CA4E20"/>
    <w:rsid w:val="00CA4E2B"/>
    <w:rsid w:val="00CA5358"/>
    <w:rsid w:val="00CA5F65"/>
    <w:rsid w:val="00CA6030"/>
    <w:rsid w:val="00CA60A9"/>
    <w:rsid w:val="00CA62FB"/>
    <w:rsid w:val="00CA6B27"/>
    <w:rsid w:val="00CA6B67"/>
    <w:rsid w:val="00CA756C"/>
    <w:rsid w:val="00CA7EF8"/>
    <w:rsid w:val="00CA7F5E"/>
    <w:rsid w:val="00CA7F80"/>
    <w:rsid w:val="00CB0007"/>
    <w:rsid w:val="00CB003D"/>
    <w:rsid w:val="00CB07C0"/>
    <w:rsid w:val="00CB08A9"/>
    <w:rsid w:val="00CB0902"/>
    <w:rsid w:val="00CB0D02"/>
    <w:rsid w:val="00CB1380"/>
    <w:rsid w:val="00CB2B98"/>
    <w:rsid w:val="00CB2F42"/>
    <w:rsid w:val="00CB34F5"/>
    <w:rsid w:val="00CB40D6"/>
    <w:rsid w:val="00CB4185"/>
    <w:rsid w:val="00CB4278"/>
    <w:rsid w:val="00CB5458"/>
    <w:rsid w:val="00CB58A9"/>
    <w:rsid w:val="00CB5931"/>
    <w:rsid w:val="00CB5C4C"/>
    <w:rsid w:val="00CB5CA6"/>
    <w:rsid w:val="00CB5DB6"/>
    <w:rsid w:val="00CB6419"/>
    <w:rsid w:val="00CB6932"/>
    <w:rsid w:val="00CB7151"/>
    <w:rsid w:val="00CB72C8"/>
    <w:rsid w:val="00CC00F2"/>
    <w:rsid w:val="00CC012D"/>
    <w:rsid w:val="00CC0205"/>
    <w:rsid w:val="00CC064E"/>
    <w:rsid w:val="00CC0B55"/>
    <w:rsid w:val="00CC0BE9"/>
    <w:rsid w:val="00CC0E13"/>
    <w:rsid w:val="00CC136F"/>
    <w:rsid w:val="00CC1B46"/>
    <w:rsid w:val="00CC22A1"/>
    <w:rsid w:val="00CC2383"/>
    <w:rsid w:val="00CC27E2"/>
    <w:rsid w:val="00CC2BCC"/>
    <w:rsid w:val="00CC40C9"/>
    <w:rsid w:val="00CC4AD5"/>
    <w:rsid w:val="00CC4D7D"/>
    <w:rsid w:val="00CC55AE"/>
    <w:rsid w:val="00CC57BC"/>
    <w:rsid w:val="00CC5C89"/>
    <w:rsid w:val="00CC618F"/>
    <w:rsid w:val="00CC62A1"/>
    <w:rsid w:val="00CC704D"/>
    <w:rsid w:val="00CC7114"/>
    <w:rsid w:val="00CC7E5E"/>
    <w:rsid w:val="00CC7F78"/>
    <w:rsid w:val="00CD0175"/>
    <w:rsid w:val="00CD03A8"/>
    <w:rsid w:val="00CD065F"/>
    <w:rsid w:val="00CD07DF"/>
    <w:rsid w:val="00CD0E08"/>
    <w:rsid w:val="00CD0F79"/>
    <w:rsid w:val="00CD0FE6"/>
    <w:rsid w:val="00CD11ED"/>
    <w:rsid w:val="00CD16E8"/>
    <w:rsid w:val="00CD2298"/>
    <w:rsid w:val="00CD2BC7"/>
    <w:rsid w:val="00CD3322"/>
    <w:rsid w:val="00CD3A43"/>
    <w:rsid w:val="00CD3E39"/>
    <w:rsid w:val="00CD4CAC"/>
    <w:rsid w:val="00CD5241"/>
    <w:rsid w:val="00CD56A5"/>
    <w:rsid w:val="00CD5BAD"/>
    <w:rsid w:val="00CD5D00"/>
    <w:rsid w:val="00CD5FAA"/>
    <w:rsid w:val="00CD6544"/>
    <w:rsid w:val="00CD697F"/>
    <w:rsid w:val="00CD6995"/>
    <w:rsid w:val="00CE04B5"/>
    <w:rsid w:val="00CE0608"/>
    <w:rsid w:val="00CE0640"/>
    <w:rsid w:val="00CE1429"/>
    <w:rsid w:val="00CE147F"/>
    <w:rsid w:val="00CE1C5F"/>
    <w:rsid w:val="00CE1C6A"/>
    <w:rsid w:val="00CE1CA5"/>
    <w:rsid w:val="00CE2044"/>
    <w:rsid w:val="00CE31AF"/>
    <w:rsid w:val="00CE4355"/>
    <w:rsid w:val="00CE43FD"/>
    <w:rsid w:val="00CE4580"/>
    <w:rsid w:val="00CE4A8F"/>
    <w:rsid w:val="00CE4DAD"/>
    <w:rsid w:val="00CE5DC6"/>
    <w:rsid w:val="00CE5F82"/>
    <w:rsid w:val="00CE6134"/>
    <w:rsid w:val="00CE679F"/>
    <w:rsid w:val="00CE721E"/>
    <w:rsid w:val="00CE75E6"/>
    <w:rsid w:val="00CE7D15"/>
    <w:rsid w:val="00CE7D4A"/>
    <w:rsid w:val="00CE7E00"/>
    <w:rsid w:val="00CF0214"/>
    <w:rsid w:val="00CF0A15"/>
    <w:rsid w:val="00CF0A75"/>
    <w:rsid w:val="00CF1FFD"/>
    <w:rsid w:val="00CF214A"/>
    <w:rsid w:val="00CF230F"/>
    <w:rsid w:val="00CF25ED"/>
    <w:rsid w:val="00CF2F6C"/>
    <w:rsid w:val="00CF3145"/>
    <w:rsid w:val="00CF3629"/>
    <w:rsid w:val="00CF3CD8"/>
    <w:rsid w:val="00CF3E9C"/>
    <w:rsid w:val="00CF46C3"/>
    <w:rsid w:val="00CF497F"/>
    <w:rsid w:val="00CF5115"/>
    <w:rsid w:val="00CF586F"/>
    <w:rsid w:val="00CF5DFF"/>
    <w:rsid w:val="00CF60BA"/>
    <w:rsid w:val="00CF624A"/>
    <w:rsid w:val="00CF6D42"/>
    <w:rsid w:val="00CF7337"/>
    <w:rsid w:val="00CF7462"/>
    <w:rsid w:val="00CF7D43"/>
    <w:rsid w:val="00CF7FAA"/>
    <w:rsid w:val="00D008DF"/>
    <w:rsid w:val="00D01620"/>
    <w:rsid w:val="00D017B5"/>
    <w:rsid w:val="00D01F72"/>
    <w:rsid w:val="00D023A7"/>
    <w:rsid w:val="00D02427"/>
    <w:rsid w:val="00D02610"/>
    <w:rsid w:val="00D03226"/>
    <w:rsid w:val="00D03485"/>
    <w:rsid w:val="00D038B1"/>
    <w:rsid w:val="00D03B12"/>
    <w:rsid w:val="00D03C8C"/>
    <w:rsid w:val="00D0465C"/>
    <w:rsid w:val="00D04A59"/>
    <w:rsid w:val="00D05753"/>
    <w:rsid w:val="00D0597A"/>
    <w:rsid w:val="00D05987"/>
    <w:rsid w:val="00D072A2"/>
    <w:rsid w:val="00D07A64"/>
    <w:rsid w:val="00D11129"/>
    <w:rsid w:val="00D111A7"/>
    <w:rsid w:val="00D12517"/>
    <w:rsid w:val="00D126A4"/>
    <w:rsid w:val="00D13076"/>
    <w:rsid w:val="00D1347C"/>
    <w:rsid w:val="00D13BBE"/>
    <w:rsid w:val="00D14843"/>
    <w:rsid w:val="00D14AE7"/>
    <w:rsid w:val="00D1503B"/>
    <w:rsid w:val="00D15179"/>
    <w:rsid w:val="00D15D6A"/>
    <w:rsid w:val="00D15EBD"/>
    <w:rsid w:val="00D1601F"/>
    <w:rsid w:val="00D16E16"/>
    <w:rsid w:val="00D16E9B"/>
    <w:rsid w:val="00D17151"/>
    <w:rsid w:val="00D17F25"/>
    <w:rsid w:val="00D17FA4"/>
    <w:rsid w:val="00D20174"/>
    <w:rsid w:val="00D2031B"/>
    <w:rsid w:val="00D2045F"/>
    <w:rsid w:val="00D208FE"/>
    <w:rsid w:val="00D215A7"/>
    <w:rsid w:val="00D21D2E"/>
    <w:rsid w:val="00D21E14"/>
    <w:rsid w:val="00D21E18"/>
    <w:rsid w:val="00D22332"/>
    <w:rsid w:val="00D224BF"/>
    <w:rsid w:val="00D226FD"/>
    <w:rsid w:val="00D22A26"/>
    <w:rsid w:val="00D22D43"/>
    <w:rsid w:val="00D2447E"/>
    <w:rsid w:val="00D24672"/>
    <w:rsid w:val="00D24960"/>
    <w:rsid w:val="00D24C66"/>
    <w:rsid w:val="00D24F15"/>
    <w:rsid w:val="00D2500D"/>
    <w:rsid w:val="00D25056"/>
    <w:rsid w:val="00D25098"/>
    <w:rsid w:val="00D2517D"/>
    <w:rsid w:val="00D25AC7"/>
    <w:rsid w:val="00D25C33"/>
    <w:rsid w:val="00D25FBB"/>
    <w:rsid w:val="00D25FE2"/>
    <w:rsid w:val="00D2601A"/>
    <w:rsid w:val="00D2616F"/>
    <w:rsid w:val="00D2621A"/>
    <w:rsid w:val="00D26756"/>
    <w:rsid w:val="00D269FA"/>
    <w:rsid w:val="00D26CB8"/>
    <w:rsid w:val="00D270D8"/>
    <w:rsid w:val="00D271B9"/>
    <w:rsid w:val="00D30B4F"/>
    <w:rsid w:val="00D3155C"/>
    <w:rsid w:val="00D31876"/>
    <w:rsid w:val="00D32130"/>
    <w:rsid w:val="00D32586"/>
    <w:rsid w:val="00D32B92"/>
    <w:rsid w:val="00D32D4D"/>
    <w:rsid w:val="00D3306F"/>
    <w:rsid w:val="00D3308F"/>
    <w:rsid w:val="00D3328A"/>
    <w:rsid w:val="00D332AE"/>
    <w:rsid w:val="00D34689"/>
    <w:rsid w:val="00D351E8"/>
    <w:rsid w:val="00D35C86"/>
    <w:rsid w:val="00D35E2B"/>
    <w:rsid w:val="00D35FDC"/>
    <w:rsid w:val="00D36A0B"/>
    <w:rsid w:val="00D3707E"/>
    <w:rsid w:val="00D3717C"/>
    <w:rsid w:val="00D371F3"/>
    <w:rsid w:val="00D3720E"/>
    <w:rsid w:val="00D3733E"/>
    <w:rsid w:val="00D3778A"/>
    <w:rsid w:val="00D4017E"/>
    <w:rsid w:val="00D417C9"/>
    <w:rsid w:val="00D422EB"/>
    <w:rsid w:val="00D4268F"/>
    <w:rsid w:val="00D42D8E"/>
    <w:rsid w:val="00D431D3"/>
    <w:rsid w:val="00D43252"/>
    <w:rsid w:val="00D435B1"/>
    <w:rsid w:val="00D436C8"/>
    <w:rsid w:val="00D4505C"/>
    <w:rsid w:val="00D45A46"/>
    <w:rsid w:val="00D46561"/>
    <w:rsid w:val="00D4664F"/>
    <w:rsid w:val="00D469B2"/>
    <w:rsid w:val="00D46EEC"/>
    <w:rsid w:val="00D47079"/>
    <w:rsid w:val="00D47574"/>
    <w:rsid w:val="00D477A6"/>
    <w:rsid w:val="00D47E25"/>
    <w:rsid w:val="00D50726"/>
    <w:rsid w:val="00D50727"/>
    <w:rsid w:val="00D50E25"/>
    <w:rsid w:val="00D51193"/>
    <w:rsid w:val="00D51425"/>
    <w:rsid w:val="00D514B4"/>
    <w:rsid w:val="00D514FB"/>
    <w:rsid w:val="00D51B53"/>
    <w:rsid w:val="00D51BEB"/>
    <w:rsid w:val="00D51CC0"/>
    <w:rsid w:val="00D52131"/>
    <w:rsid w:val="00D526F5"/>
    <w:rsid w:val="00D531D7"/>
    <w:rsid w:val="00D53582"/>
    <w:rsid w:val="00D53AE4"/>
    <w:rsid w:val="00D53EF9"/>
    <w:rsid w:val="00D53F51"/>
    <w:rsid w:val="00D545B5"/>
    <w:rsid w:val="00D546CE"/>
    <w:rsid w:val="00D54A8E"/>
    <w:rsid w:val="00D55045"/>
    <w:rsid w:val="00D550F9"/>
    <w:rsid w:val="00D55200"/>
    <w:rsid w:val="00D55AEA"/>
    <w:rsid w:val="00D55C43"/>
    <w:rsid w:val="00D55DB7"/>
    <w:rsid w:val="00D561E0"/>
    <w:rsid w:val="00D56648"/>
    <w:rsid w:val="00D56F37"/>
    <w:rsid w:val="00D57120"/>
    <w:rsid w:val="00D572B0"/>
    <w:rsid w:val="00D60191"/>
    <w:rsid w:val="00D6051C"/>
    <w:rsid w:val="00D6091F"/>
    <w:rsid w:val="00D60E52"/>
    <w:rsid w:val="00D611EB"/>
    <w:rsid w:val="00D61258"/>
    <w:rsid w:val="00D61A44"/>
    <w:rsid w:val="00D61FDC"/>
    <w:rsid w:val="00D621FD"/>
    <w:rsid w:val="00D62E90"/>
    <w:rsid w:val="00D62F8D"/>
    <w:rsid w:val="00D6455B"/>
    <w:rsid w:val="00D6475A"/>
    <w:rsid w:val="00D65283"/>
    <w:rsid w:val="00D65A6B"/>
    <w:rsid w:val="00D667CA"/>
    <w:rsid w:val="00D66AC3"/>
    <w:rsid w:val="00D66C1A"/>
    <w:rsid w:val="00D66FAB"/>
    <w:rsid w:val="00D6784A"/>
    <w:rsid w:val="00D6795D"/>
    <w:rsid w:val="00D67D23"/>
    <w:rsid w:val="00D70839"/>
    <w:rsid w:val="00D713CD"/>
    <w:rsid w:val="00D71C70"/>
    <w:rsid w:val="00D72425"/>
    <w:rsid w:val="00D7251E"/>
    <w:rsid w:val="00D72532"/>
    <w:rsid w:val="00D72733"/>
    <w:rsid w:val="00D728C4"/>
    <w:rsid w:val="00D73443"/>
    <w:rsid w:val="00D73A0E"/>
    <w:rsid w:val="00D73B26"/>
    <w:rsid w:val="00D7467D"/>
    <w:rsid w:val="00D74B15"/>
    <w:rsid w:val="00D75043"/>
    <w:rsid w:val="00D7518B"/>
    <w:rsid w:val="00D75472"/>
    <w:rsid w:val="00D755ED"/>
    <w:rsid w:val="00D757E8"/>
    <w:rsid w:val="00D75D6B"/>
    <w:rsid w:val="00D75E61"/>
    <w:rsid w:val="00D766E8"/>
    <w:rsid w:val="00D76B07"/>
    <w:rsid w:val="00D76BE5"/>
    <w:rsid w:val="00D76C01"/>
    <w:rsid w:val="00D76D5C"/>
    <w:rsid w:val="00D77322"/>
    <w:rsid w:val="00D777CA"/>
    <w:rsid w:val="00D77C5F"/>
    <w:rsid w:val="00D807CB"/>
    <w:rsid w:val="00D81C1A"/>
    <w:rsid w:val="00D82979"/>
    <w:rsid w:val="00D831EF"/>
    <w:rsid w:val="00D838C0"/>
    <w:rsid w:val="00D83E88"/>
    <w:rsid w:val="00D84559"/>
    <w:rsid w:val="00D84C09"/>
    <w:rsid w:val="00D85998"/>
    <w:rsid w:val="00D85B6B"/>
    <w:rsid w:val="00D85CCD"/>
    <w:rsid w:val="00D85E94"/>
    <w:rsid w:val="00D867AB"/>
    <w:rsid w:val="00D872FF"/>
    <w:rsid w:val="00D87744"/>
    <w:rsid w:val="00D87E4F"/>
    <w:rsid w:val="00D87F81"/>
    <w:rsid w:val="00D90255"/>
    <w:rsid w:val="00D90908"/>
    <w:rsid w:val="00D920A7"/>
    <w:rsid w:val="00D9273F"/>
    <w:rsid w:val="00D92BB7"/>
    <w:rsid w:val="00D92BF8"/>
    <w:rsid w:val="00D9319A"/>
    <w:rsid w:val="00D933D1"/>
    <w:rsid w:val="00D941D9"/>
    <w:rsid w:val="00D947A8"/>
    <w:rsid w:val="00D9495D"/>
    <w:rsid w:val="00D94C2F"/>
    <w:rsid w:val="00D94D4B"/>
    <w:rsid w:val="00D94DBE"/>
    <w:rsid w:val="00D94E9B"/>
    <w:rsid w:val="00D9547A"/>
    <w:rsid w:val="00D95E30"/>
    <w:rsid w:val="00D96088"/>
    <w:rsid w:val="00D96298"/>
    <w:rsid w:val="00D96309"/>
    <w:rsid w:val="00D96481"/>
    <w:rsid w:val="00D972F5"/>
    <w:rsid w:val="00D978C6"/>
    <w:rsid w:val="00D9797D"/>
    <w:rsid w:val="00D97F00"/>
    <w:rsid w:val="00DA0CAF"/>
    <w:rsid w:val="00DA0DB3"/>
    <w:rsid w:val="00DA0FB1"/>
    <w:rsid w:val="00DA12FE"/>
    <w:rsid w:val="00DA13AE"/>
    <w:rsid w:val="00DA1F91"/>
    <w:rsid w:val="00DA2404"/>
    <w:rsid w:val="00DA2440"/>
    <w:rsid w:val="00DA2C4F"/>
    <w:rsid w:val="00DA2EDC"/>
    <w:rsid w:val="00DA39E9"/>
    <w:rsid w:val="00DA3CD1"/>
    <w:rsid w:val="00DA3DB6"/>
    <w:rsid w:val="00DA3DD5"/>
    <w:rsid w:val="00DA409C"/>
    <w:rsid w:val="00DA40DA"/>
    <w:rsid w:val="00DA4DFE"/>
    <w:rsid w:val="00DA54FD"/>
    <w:rsid w:val="00DA553F"/>
    <w:rsid w:val="00DA580B"/>
    <w:rsid w:val="00DA5DB3"/>
    <w:rsid w:val="00DA5ED9"/>
    <w:rsid w:val="00DA662E"/>
    <w:rsid w:val="00DA67AD"/>
    <w:rsid w:val="00DA67C8"/>
    <w:rsid w:val="00DA69C9"/>
    <w:rsid w:val="00DA6AF0"/>
    <w:rsid w:val="00DA6C46"/>
    <w:rsid w:val="00DA6FBC"/>
    <w:rsid w:val="00DA72A9"/>
    <w:rsid w:val="00DB01A3"/>
    <w:rsid w:val="00DB0822"/>
    <w:rsid w:val="00DB18CE"/>
    <w:rsid w:val="00DB1F69"/>
    <w:rsid w:val="00DB1F95"/>
    <w:rsid w:val="00DB212F"/>
    <w:rsid w:val="00DB2E1C"/>
    <w:rsid w:val="00DB372A"/>
    <w:rsid w:val="00DB3747"/>
    <w:rsid w:val="00DB3E89"/>
    <w:rsid w:val="00DB4865"/>
    <w:rsid w:val="00DB4960"/>
    <w:rsid w:val="00DB4AAD"/>
    <w:rsid w:val="00DB4FA5"/>
    <w:rsid w:val="00DB5252"/>
    <w:rsid w:val="00DB74D9"/>
    <w:rsid w:val="00DB7C63"/>
    <w:rsid w:val="00DC0C58"/>
    <w:rsid w:val="00DC0F6C"/>
    <w:rsid w:val="00DC121C"/>
    <w:rsid w:val="00DC129B"/>
    <w:rsid w:val="00DC12C5"/>
    <w:rsid w:val="00DC1318"/>
    <w:rsid w:val="00DC1551"/>
    <w:rsid w:val="00DC18D8"/>
    <w:rsid w:val="00DC2146"/>
    <w:rsid w:val="00DC2495"/>
    <w:rsid w:val="00DC2569"/>
    <w:rsid w:val="00DC2E00"/>
    <w:rsid w:val="00DC32DD"/>
    <w:rsid w:val="00DC44F5"/>
    <w:rsid w:val="00DC5076"/>
    <w:rsid w:val="00DC51E1"/>
    <w:rsid w:val="00DC53DC"/>
    <w:rsid w:val="00DC5489"/>
    <w:rsid w:val="00DC5958"/>
    <w:rsid w:val="00DC5E4C"/>
    <w:rsid w:val="00DC6087"/>
    <w:rsid w:val="00DD0945"/>
    <w:rsid w:val="00DD0AE5"/>
    <w:rsid w:val="00DD0FA3"/>
    <w:rsid w:val="00DD0FA6"/>
    <w:rsid w:val="00DD10C8"/>
    <w:rsid w:val="00DD1212"/>
    <w:rsid w:val="00DD144C"/>
    <w:rsid w:val="00DD2122"/>
    <w:rsid w:val="00DD2468"/>
    <w:rsid w:val="00DD2857"/>
    <w:rsid w:val="00DD2860"/>
    <w:rsid w:val="00DD3179"/>
    <w:rsid w:val="00DD4008"/>
    <w:rsid w:val="00DD43E2"/>
    <w:rsid w:val="00DD4509"/>
    <w:rsid w:val="00DD46F7"/>
    <w:rsid w:val="00DD48FA"/>
    <w:rsid w:val="00DD516F"/>
    <w:rsid w:val="00DD54DE"/>
    <w:rsid w:val="00DD5FD1"/>
    <w:rsid w:val="00DD68BE"/>
    <w:rsid w:val="00DD6A87"/>
    <w:rsid w:val="00DD6B19"/>
    <w:rsid w:val="00DD71BE"/>
    <w:rsid w:val="00DD736D"/>
    <w:rsid w:val="00DD78C7"/>
    <w:rsid w:val="00DD7D9B"/>
    <w:rsid w:val="00DD7FF3"/>
    <w:rsid w:val="00DE141A"/>
    <w:rsid w:val="00DE169B"/>
    <w:rsid w:val="00DE1922"/>
    <w:rsid w:val="00DE1A63"/>
    <w:rsid w:val="00DE1AE2"/>
    <w:rsid w:val="00DE213E"/>
    <w:rsid w:val="00DE214C"/>
    <w:rsid w:val="00DE21B2"/>
    <w:rsid w:val="00DE2436"/>
    <w:rsid w:val="00DE2B9A"/>
    <w:rsid w:val="00DE343B"/>
    <w:rsid w:val="00DE35B0"/>
    <w:rsid w:val="00DE3876"/>
    <w:rsid w:val="00DE3EC0"/>
    <w:rsid w:val="00DE4074"/>
    <w:rsid w:val="00DE429E"/>
    <w:rsid w:val="00DE48D9"/>
    <w:rsid w:val="00DE49A2"/>
    <w:rsid w:val="00DE49E3"/>
    <w:rsid w:val="00DE4F3C"/>
    <w:rsid w:val="00DE5C93"/>
    <w:rsid w:val="00DE6678"/>
    <w:rsid w:val="00DE6C69"/>
    <w:rsid w:val="00DE6D55"/>
    <w:rsid w:val="00DE70AE"/>
    <w:rsid w:val="00DE72C3"/>
    <w:rsid w:val="00DE72F3"/>
    <w:rsid w:val="00DE7DA0"/>
    <w:rsid w:val="00DE7DD3"/>
    <w:rsid w:val="00DE7F1C"/>
    <w:rsid w:val="00DF0151"/>
    <w:rsid w:val="00DF0A51"/>
    <w:rsid w:val="00DF13C2"/>
    <w:rsid w:val="00DF1743"/>
    <w:rsid w:val="00DF18E1"/>
    <w:rsid w:val="00DF1F2B"/>
    <w:rsid w:val="00DF21D6"/>
    <w:rsid w:val="00DF326F"/>
    <w:rsid w:val="00DF337B"/>
    <w:rsid w:val="00DF41AC"/>
    <w:rsid w:val="00DF43B2"/>
    <w:rsid w:val="00DF4A61"/>
    <w:rsid w:val="00DF534B"/>
    <w:rsid w:val="00DF5592"/>
    <w:rsid w:val="00DF59E8"/>
    <w:rsid w:val="00DF5F0C"/>
    <w:rsid w:val="00DF61F6"/>
    <w:rsid w:val="00DF6CB3"/>
    <w:rsid w:val="00DF6FDA"/>
    <w:rsid w:val="00E0024A"/>
    <w:rsid w:val="00E006C4"/>
    <w:rsid w:val="00E0080E"/>
    <w:rsid w:val="00E00E1C"/>
    <w:rsid w:val="00E01581"/>
    <w:rsid w:val="00E01CB8"/>
    <w:rsid w:val="00E02126"/>
    <w:rsid w:val="00E023AE"/>
    <w:rsid w:val="00E026D6"/>
    <w:rsid w:val="00E02B4F"/>
    <w:rsid w:val="00E02EE6"/>
    <w:rsid w:val="00E03D7B"/>
    <w:rsid w:val="00E04A67"/>
    <w:rsid w:val="00E05153"/>
    <w:rsid w:val="00E0540F"/>
    <w:rsid w:val="00E05B00"/>
    <w:rsid w:val="00E05D25"/>
    <w:rsid w:val="00E0663F"/>
    <w:rsid w:val="00E06843"/>
    <w:rsid w:val="00E07898"/>
    <w:rsid w:val="00E10090"/>
    <w:rsid w:val="00E10840"/>
    <w:rsid w:val="00E10F99"/>
    <w:rsid w:val="00E11283"/>
    <w:rsid w:val="00E1130A"/>
    <w:rsid w:val="00E113B6"/>
    <w:rsid w:val="00E11593"/>
    <w:rsid w:val="00E1178A"/>
    <w:rsid w:val="00E119BF"/>
    <w:rsid w:val="00E119C5"/>
    <w:rsid w:val="00E11A2A"/>
    <w:rsid w:val="00E11B16"/>
    <w:rsid w:val="00E12086"/>
    <w:rsid w:val="00E12700"/>
    <w:rsid w:val="00E128AE"/>
    <w:rsid w:val="00E129B0"/>
    <w:rsid w:val="00E12B6B"/>
    <w:rsid w:val="00E130AB"/>
    <w:rsid w:val="00E13155"/>
    <w:rsid w:val="00E13395"/>
    <w:rsid w:val="00E139B5"/>
    <w:rsid w:val="00E13AF6"/>
    <w:rsid w:val="00E13B3E"/>
    <w:rsid w:val="00E13E49"/>
    <w:rsid w:val="00E13F36"/>
    <w:rsid w:val="00E14807"/>
    <w:rsid w:val="00E15ADE"/>
    <w:rsid w:val="00E15CF5"/>
    <w:rsid w:val="00E1625A"/>
    <w:rsid w:val="00E1737E"/>
    <w:rsid w:val="00E17A1E"/>
    <w:rsid w:val="00E17D20"/>
    <w:rsid w:val="00E17D8A"/>
    <w:rsid w:val="00E20558"/>
    <w:rsid w:val="00E206B7"/>
    <w:rsid w:val="00E20F62"/>
    <w:rsid w:val="00E21096"/>
    <w:rsid w:val="00E21114"/>
    <w:rsid w:val="00E216FC"/>
    <w:rsid w:val="00E22149"/>
    <w:rsid w:val="00E22D4B"/>
    <w:rsid w:val="00E2301B"/>
    <w:rsid w:val="00E23256"/>
    <w:rsid w:val="00E23330"/>
    <w:rsid w:val="00E23A72"/>
    <w:rsid w:val="00E23AE6"/>
    <w:rsid w:val="00E23FF0"/>
    <w:rsid w:val="00E252D6"/>
    <w:rsid w:val="00E253A1"/>
    <w:rsid w:val="00E25664"/>
    <w:rsid w:val="00E256D7"/>
    <w:rsid w:val="00E25833"/>
    <w:rsid w:val="00E2598B"/>
    <w:rsid w:val="00E25996"/>
    <w:rsid w:val="00E25BE6"/>
    <w:rsid w:val="00E25E53"/>
    <w:rsid w:val="00E26FC5"/>
    <w:rsid w:val="00E27054"/>
    <w:rsid w:val="00E27C72"/>
    <w:rsid w:val="00E27CD9"/>
    <w:rsid w:val="00E27DD3"/>
    <w:rsid w:val="00E30059"/>
    <w:rsid w:val="00E301F4"/>
    <w:rsid w:val="00E306D6"/>
    <w:rsid w:val="00E30C9B"/>
    <w:rsid w:val="00E3156E"/>
    <w:rsid w:val="00E3178A"/>
    <w:rsid w:val="00E31827"/>
    <w:rsid w:val="00E318AA"/>
    <w:rsid w:val="00E31BE6"/>
    <w:rsid w:val="00E32CD6"/>
    <w:rsid w:val="00E332C8"/>
    <w:rsid w:val="00E33F32"/>
    <w:rsid w:val="00E35205"/>
    <w:rsid w:val="00E352FB"/>
    <w:rsid w:val="00E35B13"/>
    <w:rsid w:val="00E35B8D"/>
    <w:rsid w:val="00E362F3"/>
    <w:rsid w:val="00E36DB3"/>
    <w:rsid w:val="00E36EAE"/>
    <w:rsid w:val="00E37096"/>
    <w:rsid w:val="00E370CF"/>
    <w:rsid w:val="00E370F7"/>
    <w:rsid w:val="00E37807"/>
    <w:rsid w:val="00E379E0"/>
    <w:rsid w:val="00E37BE2"/>
    <w:rsid w:val="00E404B9"/>
    <w:rsid w:val="00E40949"/>
    <w:rsid w:val="00E41446"/>
    <w:rsid w:val="00E423E1"/>
    <w:rsid w:val="00E42C97"/>
    <w:rsid w:val="00E432F9"/>
    <w:rsid w:val="00E434CF"/>
    <w:rsid w:val="00E438D9"/>
    <w:rsid w:val="00E44780"/>
    <w:rsid w:val="00E4510B"/>
    <w:rsid w:val="00E457A4"/>
    <w:rsid w:val="00E45D13"/>
    <w:rsid w:val="00E465F5"/>
    <w:rsid w:val="00E46D1D"/>
    <w:rsid w:val="00E474F4"/>
    <w:rsid w:val="00E47FE0"/>
    <w:rsid w:val="00E501AF"/>
    <w:rsid w:val="00E5057E"/>
    <w:rsid w:val="00E505BF"/>
    <w:rsid w:val="00E50736"/>
    <w:rsid w:val="00E51236"/>
    <w:rsid w:val="00E51545"/>
    <w:rsid w:val="00E515DF"/>
    <w:rsid w:val="00E5249C"/>
    <w:rsid w:val="00E5250F"/>
    <w:rsid w:val="00E5263A"/>
    <w:rsid w:val="00E53EEE"/>
    <w:rsid w:val="00E552BA"/>
    <w:rsid w:val="00E55426"/>
    <w:rsid w:val="00E558A9"/>
    <w:rsid w:val="00E559CA"/>
    <w:rsid w:val="00E55FF5"/>
    <w:rsid w:val="00E563BE"/>
    <w:rsid w:val="00E5644E"/>
    <w:rsid w:val="00E5662F"/>
    <w:rsid w:val="00E56A55"/>
    <w:rsid w:val="00E57124"/>
    <w:rsid w:val="00E57C4E"/>
    <w:rsid w:val="00E6057B"/>
    <w:rsid w:val="00E6080E"/>
    <w:rsid w:val="00E60F6C"/>
    <w:rsid w:val="00E6181A"/>
    <w:rsid w:val="00E6330E"/>
    <w:rsid w:val="00E6352B"/>
    <w:rsid w:val="00E641AA"/>
    <w:rsid w:val="00E64BB6"/>
    <w:rsid w:val="00E64F84"/>
    <w:rsid w:val="00E6526D"/>
    <w:rsid w:val="00E654EF"/>
    <w:rsid w:val="00E659F1"/>
    <w:rsid w:val="00E65C93"/>
    <w:rsid w:val="00E65ED9"/>
    <w:rsid w:val="00E66930"/>
    <w:rsid w:val="00E66DCA"/>
    <w:rsid w:val="00E67035"/>
    <w:rsid w:val="00E67356"/>
    <w:rsid w:val="00E674FB"/>
    <w:rsid w:val="00E67753"/>
    <w:rsid w:val="00E67EAA"/>
    <w:rsid w:val="00E7007C"/>
    <w:rsid w:val="00E70540"/>
    <w:rsid w:val="00E705A9"/>
    <w:rsid w:val="00E7107D"/>
    <w:rsid w:val="00E71500"/>
    <w:rsid w:val="00E71521"/>
    <w:rsid w:val="00E72405"/>
    <w:rsid w:val="00E7260F"/>
    <w:rsid w:val="00E72C4C"/>
    <w:rsid w:val="00E72F2E"/>
    <w:rsid w:val="00E73094"/>
    <w:rsid w:val="00E73095"/>
    <w:rsid w:val="00E733DF"/>
    <w:rsid w:val="00E73CA7"/>
    <w:rsid w:val="00E73FA8"/>
    <w:rsid w:val="00E73FE8"/>
    <w:rsid w:val="00E746C1"/>
    <w:rsid w:val="00E74D86"/>
    <w:rsid w:val="00E75014"/>
    <w:rsid w:val="00E75C26"/>
    <w:rsid w:val="00E75E64"/>
    <w:rsid w:val="00E7628C"/>
    <w:rsid w:val="00E76C46"/>
    <w:rsid w:val="00E7710A"/>
    <w:rsid w:val="00E77404"/>
    <w:rsid w:val="00E774D3"/>
    <w:rsid w:val="00E7776F"/>
    <w:rsid w:val="00E77A19"/>
    <w:rsid w:val="00E8005A"/>
    <w:rsid w:val="00E806EE"/>
    <w:rsid w:val="00E8089A"/>
    <w:rsid w:val="00E80FBE"/>
    <w:rsid w:val="00E813C5"/>
    <w:rsid w:val="00E81503"/>
    <w:rsid w:val="00E81CB0"/>
    <w:rsid w:val="00E823D2"/>
    <w:rsid w:val="00E82F27"/>
    <w:rsid w:val="00E8341D"/>
    <w:rsid w:val="00E8371B"/>
    <w:rsid w:val="00E84B9E"/>
    <w:rsid w:val="00E84C37"/>
    <w:rsid w:val="00E84E0E"/>
    <w:rsid w:val="00E853C4"/>
    <w:rsid w:val="00E8541E"/>
    <w:rsid w:val="00E8637F"/>
    <w:rsid w:val="00E86895"/>
    <w:rsid w:val="00E87D92"/>
    <w:rsid w:val="00E916CF"/>
    <w:rsid w:val="00E9189B"/>
    <w:rsid w:val="00E91921"/>
    <w:rsid w:val="00E91BDB"/>
    <w:rsid w:val="00E91F56"/>
    <w:rsid w:val="00E928D8"/>
    <w:rsid w:val="00E92D44"/>
    <w:rsid w:val="00E92D6C"/>
    <w:rsid w:val="00E932A8"/>
    <w:rsid w:val="00E93E5C"/>
    <w:rsid w:val="00E9461A"/>
    <w:rsid w:val="00E94CAE"/>
    <w:rsid w:val="00E94D29"/>
    <w:rsid w:val="00E9515A"/>
    <w:rsid w:val="00E96630"/>
    <w:rsid w:val="00E966AA"/>
    <w:rsid w:val="00E968A2"/>
    <w:rsid w:val="00E96DFE"/>
    <w:rsid w:val="00E97971"/>
    <w:rsid w:val="00E97A55"/>
    <w:rsid w:val="00EA020A"/>
    <w:rsid w:val="00EA0663"/>
    <w:rsid w:val="00EA1A30"/>
    <w:rsid w:val="00EA2D2F"/>
    <w:rsid w:val="00EA2F42"/>
    <w:rsid w:val="00EA38F6"/>
    <w:rsid w:val="00EA3A2C"/>
    <w:rsid w:val="00EA3F91"/>
    <w:rsid w:val="00EA4219"/>
    <w:rsid w:val="00EA43F1"/>
    <w:rsid w:val="00EA43FD"/>
    <w:rsid w:val="00EA54CE"/>
    <w:rsid w:val="00EA57EB"/>
    <w:rsid w:val="00EA5A6D"/>
    <w:rsid w:val="00EA5F44"/>
    <w:rsid w:val="00EA63C2"/>
    <w:rsid w:val="00EA6566"/>
    <w:rsid w:val="00EA72BB"/>
    <w:rsid w:val="00EA777B"/>
    <w:rsid w:val="00EB03E9"/>
    <w:rsid w:val="00EB0716"/>
    <w:rsid w:val="00EB084E"/>
    <w:rsid w:val="00EB0C7A"/>
    <w:rsid w:val="00EB0D9C"/>
    <w:rsid w:val="00EB0E1C"/>
    <w:rsid w:val="00EB0F23"/>
    <w:rsid w:val="00EB0FB9"/>
    <w:rsid w:val="00EB14E2"/>
    <w:rsid w:val="00EB1FA6"/>
    <w:rsid w:val="00EB2E1D"/>
    <w:rsid w:val="00EB3A34"/>
    <w:rsid w:val="00EB3E6F"/>
    <w:rsid w:val="00EB42D3"/>
    <w:rsid w:val="00EB4340"/>
    <w:rsid w:val="00EB447F"/>
    <w:rsid w:val="00EB4824"/>
    <w:rsid w:val="00EB5361"/>
    <w:rsid w:val="00EB54F3"/>
    <w:rsid w:val="00EB5766"/>
    <w:rsid w:val="00EB5F18"/>
    <w:rsid w:val="00EB60D6"/>
    <w:rsid w:val="00EB69C1"/>
    <w:rsid w:val="00EB7D1F"/>
    <w:rsid w:val="00EB7E9E"/>
    <w:rsid w:val="00EC0E66"/>
    <w:rsid w:val="00EC1370"/>
    <w:rsid w:val="00EC185A"/>
    <w:rsid w:val="00EC1E42"/>
    <w:rsid w:val="00EC3521"/>
    <w:rsid w:val="00EC4292"/>
    <w:rsid w:val="00EC48C7"/>
    <w:rsid w:val="00EC4D20"/>
    <w:rsid w:val="00EC5157"/>
    <w:rsid w:val="00EC6077"/>
    <w:rsid w:val="00EC6200"/>
    <w:rsid w:val="00EC6355"/>
    <w:rsid w:val="00EC66AD"/>
    <w:rsid w:val="00EC708A"/>
    <w:rsid w:val="00EC70B3"/>
    <w:rsid w:val="00EC7568"/>
    <w:rsid w:val="00EC758F"/>
    <w:rsid w:val="00EC7D75"/>
    <w:rsid w:val="00ED06F6"/>
    <w:rsid w:val="00ED0CA9"/>
    <w:rsid w:val="00ED135A"/>
    <w:rsid w:val="00ED16BF"/>
    <w:rsid w:val="00ED16C6"/>
    <w:rsid w:val="00ED1E24"/>
    <w:rsid w:val="00ED1E85"/>
    <w:rsid w:val="00ED1FBA"/>
    <w:rsid w:val="00ED322B"/>
    <w:rsid w:val="00ED34D1"/>
    <w:rsid w:val="00ED3865"/>
    <w:rsid w:val="00ED3F45"/>
    <w:rsid w:val="00ED4513"/>
    <w:rsid w:val="00ED45B0"/>
    <w:rsid w:val="00ED524D"/>
    <w:rsid w:val="00ED5A8C"/>
    <w:rsid w:val="00ED5E3F"/>
    <w:rsid w:val="00ED6840"/>
    <w:rsid w:val="00ED69D4"/>
    <w:rsid w:val="00ED6D82"/>
    <w:rsid w:val="00ED7568"/>
    <w:rsid w:val="00ED759C"/>
    <w:rsid w:val="00ED7725"/>
    <w:rsid w:val="00ED788E"/>
    <w:rsid w:val="00ED7A2A"/>
    <w:rsid w:val="00ED7A43"/>
    <w:rsid w:val="00EE023F"/>
    <w:rsid w:val="00EE087D"/>
    <w:rsid w:val="00EE0BA5"/>
    <w:rsid w:val="00EE0E17"/>
    <w:rsid w:val="00EE1E33"/>
    <w:rsid w:val="00EE316A"/>
    <w:rsid w:val="00EE3293"/>
    <w:rsid w:val="00EE364F"/>
    <w:rsid w:val="00EE37C7"/>
    <w:rsid w:val="00EE382D"/>
    <w:rsid w:val="00EE3C10"/>
    <w:rsid w:val="00EE4D2C"/>
    <w:rsid w:val="00EE5347"/>
    <w:rsid w:val="00EE5B7F"/>
    <w:rsid w:val="00EE5C2C"/>
    <w:rsid w:val="00EE5CC3"/>
    <w:rsid w:val="00EE6212"/>
    <w:rsid w:val="00EE6DAB"/>
    <w:rsid w:val="00EE7D70"/>
    <w:rsid w:val="00EF0601"/>
    <w:rsid w:val="00EF0CDC"/>
    <w:rsid w:val="00EF116F"/>
    <w:rsid w:val="00EF11C5"/>
    <w:rsid w:val="00EF131F"/>
    <w:rsid w:val="00EF1C50"/>
    <w:rsid w:val="00EF1D7F"/>
    <w:rsid w:val="00EF1F75"/>
    <w:rsid w:val="00EF21B5"/>
    <w:rsid w:val="00EF2669"/>
    <w:rsid w:val="00EF29AB"/>
    <w:rsid w:val="00EF30C2"/>
    <w:rsid w:val="00EF3384"/>
    <w:rsid w:val="00EF3B63"/>
    <w:rsid w:val="00EF46B5"/>
    <w:rsid w:val="00EF55CF"/>
    <w:rsid w:val="00EF5BDB"/>
    <w:rsid w:val="00EF5CB0"/>
    <w:rsid w:val="00EF634E"/>
    <w:rsid w:val="00EF687E"/>
    <w:rsid w:val="00EF6B70"/>
    <w:rsid w:val="00EF76BA"/>
    <w:rsid w:val="00EF7775"/>
    <w:rsid w:val="00F00747"/>
    <w:rsid w:val="00F00F73"/>
    <w:rsid w:val="00F012E4"/>
    <w:rsid w:val="00F021CB"/>
    <w:rsid w:val="00F022F4"/>
    <w:rsid w:val="00F02566"/>
    <w:rsid w:val="00F02D38"/>
    <w:rsid w:val="00F03716"/>
    <w:rsid w:val="00F04602"/>
    <w:rsid w:val="00F04FEC"/>
    <w:rsid w:val="00F05B0C"/>
    <w:rsid w:val="00F069C1"/>
    <w:rsid w:val="00F07581"/>
    <w:rsid w:val="00F0767E"/>
    <w:rsid w:val="00F07753"/>
    <w:rsid w:val="00F0796B"/>
    <w:rsid w:val="00F07AF2"/>
    <w:rsid w:val="00F07D24"/>
    <w:rsid w:val="00F07D56"/>
    <w:rsid w:val="00F07FD9"/>
    <w:rsid w:val="00F100FB"/>
    <w:rsid w:val="00F10341"/>
    <w:rsid w:val="00F10387"/>
    <w:rsid w:val="00F10522"/>
    <w:rsid w:val="00F1092A"/>
    <w:rsid w:val="00F10D24"/>
    <w:rsid w:val="00F10ECC"/>
    <w:rsid w:val="00F11150"/>
    <w:rsid w:val="00F120DC"/>
    <w:rsid w:val="00F122B2"/>
    <w:rsid w:val="00F128D2"/>
    <w:rsid w:val="00F129B2"/>
    <w:rsid w:val="00F12BF5"/>
    <w:rsid w:val="00F12CB0"/>
    <w:rsid w:val="00F12E37"/>
    <w:rsid w:val="00F139DC"/>
    <w:rsid w:val="00F1451A"/>
    <w:rsid w:val="00F1453A"/>
    <w:rsid w:val="00F14AF4"/>
    <w:rsid w:val="00F14E97"/>
    <w:rsid w:val="00F1515C"/>
    <w:rsid w:val="00F15331"/>
    <w:rsid w:val="00F15384"/>
    <w:rsid w:val="00F15714"/>
    <w:rsid w:val="00F15D9B"/>
    <w:rsid w:val="00F15DA5"/>
    <w:rsid w:val="00F16341"/>
    <w:rsid w:val="00F163DA"/>
    <w:rsid w:val="00F16519"/>
    <w:rsid w:val="00F16BC9"/>
    <w:rsid w:val="00F16D27"/>
    <w:rsid w:val="00F16F7F"/>
    <w:rsid w:val="00F17007"/>
    <w:rsid w:val="00F175E7"/>
    <w:rsid w:val="00F17BF3"/>
    <w:rsid w:val="00F17E7C"/>
    <w:rsid w:val="00F20770"/>
    <w:rsid w:val="00F20973"/>
    <w:rsid w:val="00F2106E"/>
    <w:rsid w:val="00F2283E"/>
    <w:rsid w:val="00F229DA"/>
    <w:rsid w:val="00F22D34"/>
    <w:rsid w:val="00F232FF"/>
    <w:rsid w:val="00F23513"/>
    <w:rsid w:val="00F23933"/>
    <w:rsid w:val="00F23993"/>
    <w:rsid w:val="00F23E56"/>
    <w:rsid w:val="00F23E9E"/>
    <w:rsid w:val="00F23FDC"/>
    <w:rsid w:val="00F24119"/>
    <w:rsid w:val="00F24EBE"/>
    <w:rsid w:val="00F254F7"/>
    <w:rsid w:val="00F25665"/>
    <w:rsid w:val="00F257B5"/>
    <w:rsid w:val="00F257B9"/>
    <w:rsid w:val="00F25C2A"/>
    <w:rsid w:val="00F263A1"/>
    <w:rsid w:val="00F271F9"/>
    <w:rsid w:val="00F2734B"/>
    <w:rsid w:val="00F278BA"/>
    <w:rsid w:val="00F27B24"/>
    <w:rsid w:val="00F30268"/>
    <w:rsid w:val="00F30598"/>
    <w:rsid w:val="00F3088C"/>
    <w:rsid w:val="00F30CA9"/>
    <w:rsid w:val="00F31046"/>
    <w:rsid w:val="00F3108F"/>
    <w:rsid w:val="00F31132"/>
    <w:rsid w:val="00F31634"/>
    <w:rsid w:val="00F31D52"/>
    <w:rsid w:val="00F32E4C"/>
    <w:rsid w:val="00F33277"/>
    <w:rsid w:val="00F3328A"/>
    <w:rsid w:val="00F33D03"/>
    <w:rsid w:val="00F33D8B"/>
    <w:rsid w:val="00F33F5E"/>
    <w:rsid w:val="00F35370"/>
    <w:rsid w:val="00F35568"/>
    <w:rsid w:val="00F35A81"/>
    <w:rsid w:val="00F36515"/>
    <w:rsid w:val="00F40058"/>
    <w:rsid w:val="00F4007F"/>
    <w:rsid w:val="00F403E5"/>
    <w:rsid w:val="00F4087D"/>
    <w:rsid w:val="00F40B9F"/>
    <w:rsid w:val="00F40E75"/>
    <w:rsid w:val="00F42A0F"/>
    <w:rsid w:val="00F42C1F"/>
    <w:rsid w:val="00F42CD9"/>
    <w:rsid w:val="00F42E8F"/>
    <w:rsid w:val="00F43633"/>
    <w:rsid w:val="00F43A20"/>
    <w:rsid w:val="00F43A66"/>
    <w:rsid w:val="00F43CC3"/>
    <w:rsid w:val="00F43DB8"/>
    <w:rsid w:val="00F45D0C"/>
    <w:rsid w:val="00F46502"/>
    <w:rsid w:val="00F46917"/>
    <w:rsid w:val="00F46C79"/>
    <w:rsid w:val="00F46F1E"/>
    <w:rsid w:val="00F4752C"/>
    <w:rsid w:val="00F47B5A"/>
    <w:rsid w:val="00F50728"/>
    <w:rsid w:val="00F50A6A"/>
    <w:rsid w:val="00F50A9C"/>
    <w:rsid w:val="00F510A4"/>
    <w:rsid w:val="00F516BD"/>
    <w:rsid w:val="00F52936"/>
    <w:rsid w:val="00F52B2C"/>
    <w:rsid w:val="00F53692"/>
    <w:rsid w:val="00F53853"/>
    <w:rsid w:val="00F53FF9"/>
    <w:rsid w:val="00F5441D"/>
    <w:rsid w:val="00F54903"/>
    <w:rsid w:val="00F55035"/>
    <w:rsid w:val="00F5595D"/>
    <w:rsid w:val="00F55FEB"/>
    <w:rsid w:val="00F563E9"/>
    <w:rsid w:val="00F56712"/>
    <w:rsid w:val="00F57ECC"/>
    <w:rsid w:val="00F60D8C"/>
    <w:rsid w:val="00F60F8E"/>
    <w:rsid w:val="00F61254"/>
    <w:rsid w:val="00F61405"/>
    <w:rsid w:val="00F61E03"/>
    <w:rsid w:val="00F6348D"/>
    <w:rsid w:val="00F63E0D"/>
    <w:rsid w:val="00F643A1"/>
    <w:rsid w:val="00F64A1E"/>
    <w:rsid w:val="00F64C6D"/>
    <w:rsid w:val="00F64FB6"/>
    <w:rsid w:val="00F6510A"/>
    <w:rsid w:val="00F652EF"/>
    <w:rsid w:val="00F65325"/>
    <w:rsid w:val="00F656B4"/>
    <w:rsid w:val="00F65ACA"/>
    <w:rsid w:val="00F65F38"/>
    <w:rsid w:val="00F661A4"/>
    <w:rsid w:val="00F66875"/>
    <w:rsid w:val="00F66E9A"/>
    <w:rsid w:val="00F673C9"/>
    <w:rsid w:val="00F6770C"/>
    <w:rsid w:val="00F677CB"/>
    <w:rsid w:val="00F67D36"/>
    <w:rsid w:val="00F70568"/>
    <w:rsid w:val="00F709C7"/>
    <w:rsid w:val="00F70B90"/>
    <w:rsid w:val="00F71E55"/>
    <w:rsid w:val="00F727A7"/>
    <w:rsid w:val="00F72884"/>
    <w:rsid w:val="00F72C72"/>
    <w:rsid w:val="00F72C79"/>
    <w:rsid w:val="00F73416"/>
    <w:rsid w:val="00F735DC"/>
    <w:rsid w:val="00F735DF"/>
    <w:rsid w:val="00F736BD"/>
    <w:rsid w:val="00F73F4A"/>
    <w:rsid w:val="00F740E5"/>
    <w:rsid w:val="00F743E1"/>
    <w:rsid w:val="00F745F6"/>
    <w:rsid w:val="00F74CDB"/>
    <w:rsid w:val="00F74F25"/>
    <w:rsid w:val="00F7500D"/>
    <w:rsid w:val="00F754C5"/>
    <w:rsid w:val="00F756F8"/>
    <w:rsid w:val="00F75817"/>
    <w:rsid w:val="00F7592C"/>
    <w:rsid w:val="00F75FA8"/>
    <w:rsid w:val="00F76268"/>
    <w:rsid w:val="00F76B9C"/>
    <w:rsid w:val="00F76E85"/>
    <w:rsid w:val="00F77049"/>
    <w:rsid w:val="00F77809"/>
    <w:rsid w:val="00F77AF2"/>
    <w:rsid w:val="00F80449"/>
    <w:rsid w:val="00F805B4"/>
    <w:rsid w:val="00F80997"/>
    <w:rsid w:val="00F80E17"/>
    <w:rsid w:val="00F8112F"/>
    <w:rsid w:val="00F81D97"/>
    <w:rsid w:val="00F83165"/>
    <w:rsid w:val="00F8344B"/>
    <w:rsid w:val="00F8416E"/>
    <w:rsid w:val="00F84592"/>
    <w:rsid w:val="00F84F12"/>
    <w:rsid w:val="00F85DA8"/>
    <w:rsid w:val="00F862F4"/>
    <w:rsid w:val="00F86392"/>
    <w:rsid w:val="00F86EBF"/>
    <w:rsid w:val="00F86FA2"/>
    <w:rsid w:val="00F8726A"/>
    <w:rsid w:val="00F87ECD"/>
    <w:rsid w:val="00F906AE"/>
    <w:rsid w:val="00F91279"/>
    <w:rsid w:val="00F91534"/>
    <w:rsid w:val="00F9164A"/>
    <w:rsid w:val="00F916A6"/>
    <w:rsid w:val="00F9176A"/>
    <w:rsid w:val="00F91B0C"/>
    <w:rsid w:val="00F91EA7"/>
    <w:rsid w:val="00F931F2"/>
    <w:rsid w:val="00F93942"/>
    <w:rsid w:val="00F93EEF"/>
    <w:rsid w:val="00F943EC"/>
    <w:rsid w:val="00F95A8F"/>
    <w:rsid w:val="00F961F7"/>
    <w:rsid w:val="00F96579"/>
    <w:rsid w:val="00F96EA7"/>
    <w:rsid w:val="00F97937"/>
    <w:rsid w:val="00F97B8D"/>
    <w:rsid w:val="00F97E26"/>
    <w:rsid w:val="00FA00AF"/>
    <w:rsid w:val="00FA06B5"/>
    <w:rsid w:val="00FA09EA"/>
    <w:rsid w:val="00FA0AD0"/>
    <w:rsid w:val="00FA0C32"/>
    <w:rsid w:val="00FA0F0D"/>
    <w:rsid w:val="00FA1017"/>
    <w:rsid w:val="00FA16C8"/>
    <w:rsid w:val="00FA1938"/>
    <w:rsid w:val="00FA1AB2"/>
    <w:rsid w:val="00FA2AE7"/>
    <w:rsid w:val="00FA2DB3"/>
    <w:rsid w:val="00FA2E8F"/>
    <w:rsid w:val="00FA3468"/>
    <w:rsid w:val="00FA3D1E"/>
    <w:rsid w:val="00FA3DD9"/>
    <w:rsid w:val="00FA59BA"/>
    <w:rsid w:val="00FA604C"/>
    <w:rsid w:val="00FA6213"/>
    <w:rsid w:val="00FA62E5"/>
    <w:rsid w:val="00FA6831"/>
    <w:rsid w:val="00FA70EB"/>
    <w:rsid w:val="00FA7160"/>
    <w:rsid w:val="00FA7261"/>
    <w:rsid w:val="00FA79A8"/>
    <w:rsid w:val="00FA7DE3"/>
    <w:rsid w:val="00FA7DF3"/>
    <w:rsid w:val="00FA7E00"/>
    <w:rsid w:val="00FB041A"/>
    <w:rsid w:val="00FB0916"/>
    <w:rsid w:val="00FB09BB"/>
    <w:rsid w:val="00FB0B0D"/>
    <w:rsid w:val="00FB0BAC"/>
    <w:rsid w:val="00FB137C"/>
    <w:rsid w:val="00FB1D1C"/>
    <w:rsid w:val="00FB1E0D"/>
    <w:rsid w:val="00FB2156"/>
    <w:rsid w:val="00FB257E"/>
    <w:rsid w:val="00FB3215"/>
    <w:rsid w:val="00FB35F2"/>
    <w:rsid w:val="00FB3AD3"/>
    <w:rsid w:val="00FB4D32"/>
    <w:rsid w:val="00FB509B"/>
    <w:rsid w:val="00FB559F"/>
    <w:rsid w:val="00FB59D0"/>
    <w:rsid w:val="00FB5CF2"/>
    <w:rsid w:val="00FB60E8"/>
    <w:rsid w:val="00FB60EF"/>
    <w:rsid w:val="00FB6623"/>
    <w:rsid w:val="00FB6672"/>
    <w:rsid w:val="00FB7603"/>
    <w:rsid w:val="00FB77CD"/>
    <w:rsid w:val="00FC062C"/>
    <w:rsid w:val="00FC08FB"/>
    <w:rsid w:val="00FC10EE"/>
    <w:rsid w:val="00FC14DA"/>
    <w:rsid w:val="00FC1B16"/>
    <w:rsid w:val="00FC322A"/>
    <w:rsid w:val="00FC3339"/>
    <w:rsid w:val="00FC3349"/>
    <w:rsid w:val="00FC3C56"/>
    <w:rsid w:val="00FC3C6B"/>
    <w:rsid w:val="00FC3CF0"/>
    <w:rsid w:val="00FC3E3E"/>
    <w:rsid w:val="00FC3F64"/>
    <w:rsid w:val="00FC43CC"/>
    <w:rsid w:val="00FC50BD"/>
    <w:rsid w:val="00FC580B"/>
    <w:rsid w:val="00FC5D34"/>
    <w:rsid w:val="00FC5F1C"/>
    <w:rsid w:val="00FC67D9"/>
    <w:rsid w:val="00FC68B7"/>
    <w:rsid w:val="00FC6976"/>
    <w:rsid w:val="00FC6AFC"/>
    <w:rsid w:val="00FC6D9D"/>
    <w:rsid w:val="00FC6EE6"/>
    <w:rsid w:val="00FC6EF5"/>
    <w:rsid w:val="00FC6F04"/>
    <w:rsid w:val="00FC6FB6"/>
    <w:rsid w:val="00FC6FF6"/>
    <w:rsid w:val="00FC77B3"/>
    <w:rsid w:val="00FC7D1A"/>
    <w:rsid w:val="00FC7E1B"/>
    <w:rsid w:val="00FC7F9D"/>
    <w:rsid w:val="00FD059C"/>
    <w:rsid w:val="00FD05BC"/>
    <w:rsid w:val="00FD0881"/>
    <w:rsid w:val="00FD094D"/>
    <w:rsid w:val="00FD0A6F"/>
    <w:rsid w:val="00FD0BE0"/>
    <w:rsid w:val="00FD11DC"/>
    <w:rsid w:val="00FD13A3"/>
    <w:rsid w:val="00FD17DB"/>
    <w:rsid w:val="00FD180D"/>
    <w:rsid w:val="00FD1A69"/>
    <w:rsid w:val="00FD2D8D"/>
    <w:rsid w:val="00FD3251"/>
    <w:rsid w:val="00FD3623"/>
    <w:rsid w:val="00FD36C6"/>
    <w:rsid w:val="00FD39CE"/>
    <w:rsid w:val="00FD3C6D"/>
    <w:rsid w:val="00FD3DD8"/>
    <w:rsid w:val="00FD3EE4"/>
    <w:rsid w:val="00FD4928"/>
    <w:rsid w:val="00FD54A5"/>
    <w:rsid w:val="00FD5DE3"/>
    <w:rsid w:val="00FD7686"/>
    <w:rsid w:val="00FD7C12"/>
    <w:rsid w:val="00FD7FCF"/>
    <w:rsid w:val="00FE0BC1"/>
    <w:rsid w:val="00FE13D6"/>
    <w:rsid w:val="00FE13E8"/>
    <w:rsid w:val="00FE16AB"/>
    <w:rsid w:val="00FE1725"/>
    <w:rsid w:val="00FE1A7E"/>
    <w:rsid w:val="00FE2596"/>
    <w:rsid w:val="00FE2DFA"/>
    <w:rsid w:val="00FE3328"/>
    <w:rsid w:val="00FE3A34"/>
    <w:rsid w:val="00FE3DB3"/>
    <w:rsid w:val="00FE4173"/>
    <w:rsid w:val="00FE417B"/>
    <w:rsid w:val="00FE41E0"/>
    <w:rsid w:val="00FE4298"/>
    <w:rsid w:val="00FE481A"/>
    <w:rsid w:val="00FE4D17"/>
    <w:rsid w:val="00FE4F25"/>
    <w:rsid w:val="00FE50EA"/>
    <w:rsid w:val="00FE55AA"/>
    <w:rsid w:val="00FE575C"/>
    <w:rsid w:val="00FE5778"/>
    <w:rsid w:val="00FE5D37"/>
    <w:rsid w:val="00FE60B2"/>
    <w:rsid w:val="00FE624C"/>
    <w:rsid w:val="00FE6290"/>
    <w:rsid w:val="00FE671B"/>
    <w:rsid w:val="00FE6961"/>
    <w:rsid w:val="00FE6AF7"/>
    <w:rsid w:val="00FE6BE2"/>
    <w:rsid w:val="00FE72C5"/>
    <w:rsid w:val="00FE7397"/>
    <w:rsid w:val="00FF0225"/>
    <w:rsid w:val="00FF05C8"/>
    <w:rsid w:val="00FF05DF"/>
    <w:rsid w:val="00FF104D"/>
    <w:rsid w:val="00FF11EB"/>
    <w:rsid w:val="00FF15EA"/>
    <w:rsid w:val="00FF1841"/>
    <w:rsid w:val="00FF1C44"/>
    <w:rsid w:val="00FF1E73"/>
    <w:rsid w:val="00FF23D3"/>
    <w:rsid w:val="00FF25A0"/>
    <w:rsid w:val="00FF2A04"/>
    <w:rsid w:val="00FF2CAB"/>
    <w:rsid w:val="00FF2CFB"/>
    <w:rsid w:val="00FF3073"/>
    <w:rsid w:val="00FF30ED"/>
    <w:rsid w:val="00FF32C7"/>
    <w:rsid w:val="00FF43AC"/>
    <w:rsid w:val="00FF4522"/>
    <w:rsid w:val="00FF4CC2"/>
    <w:rsid w:val="00FF4CD3"/>
    <w:rsid w:val="00FF4D1D"/>
    <w:rsid w:val="00FF55D4"/>
    <w:rsid w:val="00FF5E84"/>
    <w:rsid w:val="00FF5EA3"/>
    <w:rsid w:val="00FF6202"/>
    <w:rsid w:val="00FF6D9C"/>
    <w:rsid w:val="00FF75F2"/>
    <w:rsid w:val="00FF7FC7"/>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page number" w:uiPriority="99" w:qFormat="1"/>
    <w:lsdException w:name="endnote text"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HTML Preformatted" w:uiPriority="99" w:qFormat="1"/>
    <w:lsdException w:name="annotation subject" w:uiPriority="99" w:qFormat="1"/>
    <w:lsdException w:name="No List" w:uiPriority="99"/>
    <w:lsdException w:name="Balloon Text" w:uiPriority="99" w:qFormat="1"/>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Appel note de bas de p.,Footnote text,ftref,Texto de nota al pie,referencia nota al pie,Appel note de bas de page,Footnote Ref,16 Point,Superscript 6 Point,Ref,de nota al pie,callout,Footnote,Footnote Refernece,f"/>
    <w:link w:val="BVIfnrCharCharCharChar"/>
    <w:qFormat/>
    <w:rsid w:val="006575A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qForma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Texto,nota,pie,Ref.,al,FA Fu,FA Fuﬂnotentext,Footnote Text Char Char Char Char Char,Footnote Text Char Char Char Char,Footnote reference,Footnote Text Char Char Char,Texto nota pie Car Car,Texto nota pie Car Car Car,Footnote Text Cha"/>
    <w:basedOn w:val="Normal"/>
    <w:link w:val="FootnoteTextChar"/>
    <w:qFormat/>
    <w:rsid w:val="006575A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1"/>
    <w:uiPriority w:val="99"/>
    <w:unhideWhenUsed/>
    <w:qFormat/>
    <w:rsid w:val="00545386"/>
    <w:pPr>
      <w:suppressAutoHyphens w:val="0"/>
      <w:spacing w:line="240" w:lineRule="auto"/>
    </w:pPr>
    <w:rPr>
      <w:rFonts w:ascii="Lucida Grande" w:eastAsia="MS Mincho" w:hAnsi="Lucida Grande" w:cs="Lucida Grande"/>
      <w:sz w:val="18"/>
      <w:szCs w:val="18"/>
      <w:lang w:val="en-US" w:eastAsia="ja-JP"/>
    </w:rPr>
  </w:style>
  <w:style w:type="character" w:customStyle="1" w:styleId="BalloonTextChar">
    <w:name w:val="Balloon Text Char"/>
    <w:uiPriority w:val="99"/>
    <w:qFormat/>
    <w:rsid w:val="00545386"/>
    <w:rPr>
      <w:rFonts w:ascii="Tahoma" w:hAnsi="Tahoma" w:cs="Tahoma"/>
      <w:sz w:val="16"/>
      <w:szCs w:val="16"/>
      <w:lang w:eastAsia="en-US"/>
    </w:rPr>
  </w:style>
  <w:style w:type="paragraph" w:styleId="ListParagraph">
    <w:name w:val="List Paragraph"/>
    <w:basedOn w:val="Normal"/>
    <w:uiPriority w:val="34"/>
    <w:qFormat/>
    <w:rsid w:val="00545386"/>
    <w:pPr>
      <w:suppressAutoHyphens w:val="0"/>
      <w:spacing w:line="240" w:lineRule="auto"/>
      <w:ind w:left="720"/>
      <w:contextualSpacing/>
    </w:pPr>
    <w:rPr>
      <w:rFonts w:ascii="Cambria" w:eastAsia="MS Mincho" w:hAnsi="Cambria"/>
      <w:sz w:val="24"/>
      <w:szCs w:val="24"/>
      <w:lang w:val="en-US" w:eastAsia="ja-JP"/>
    </w:rPr>
  </w:style>
  <w:style w:type="character" w:styleId="CommentReference">
    <w:name w:val="annotation reference"/>
    <w:uiPriority w:val="99"/>
    <w:unhideWhenUsed/>
    <w:qFormat/>
    <w:rsid w:val="00545386"/>
    <w:rPr>
      <w:sz w:val="18"/>
      <w:szCs w:val="18"/>
    </w:rPr>
  </w:style>
  <w:style w:type="paragraph" w:styleId="CommentText">
    <w:name w:val="annotation text"/>
    <w:basedOn w:val="Normal"/>
    <w:link w:val="CommentTextChar"/>
    <w:uiPriority w:val="99"/>
    <w:unhideWhenUsed/>
    <w:qFormat/>
    <w:rsid w:val="00545386"/>
    <w:pPr>
      <w:suppressAutoHyphens w:val="0"/>
      <w:spacing w:line="240" w:lineRule="auto"/>
    </w:pPr>
    <w:rPr>
      <w:rFonts w:ascii="Cambria" w:eastAsia="MS Mincho" w:hAnsi="Cambria"/>
      <w:sz w:val="24"/>
      <w:szCs w:val="24"/>
      <w:lang w:val="en-US" w:eastAsia="ja-JP"/>
    </w:rPr>
  </w:style>
  <w:style w:type="character" w:customStyle="1" w:styleId="CommentTextChar">
    <w:name w:val="Comment Text Char"/>
    <w:link w:val="CommentText"/>
    <w:uiPriority w:val="99"/>
    <w:qFormat/>
    <w:rsid w:val="00545386"/>
    <w:rPr>
      <w:rFonts w:ascii="Cambria" w:eastAsia="MS Mincho" w:hAnsi="Cambria"/>
      <w:sz w:val="24"/>
      <w:szCs w:val="24"/>
      <w:lang w:val="en-US" w:eastAsia="ja-JP"/>
    </w:rPr>
  </w:style>
  <w:style w:type="character" w:customStyle="1" w:styleId="BalloonTextChar1">
    <w:name w:val="Balloon Text Char1"/>
    <w:link w:val="BalloonText"/>
    <w:uiPriority w:val="99"/>
    <w:rsid w:val="00545386"/>
    <w:rPr>
      <w:rFonts w:ascii="Lucida Grande" w:eastAsia="MS Mincho" w:hAnsi="Lucida Grande" w:cs="Lucida Grande"/>
      <w:sz w:val="18"/>
      <w:szCs w:val="18"/>
      <w:lang w:val="en-US" w:eastAsia="ja-JP"/>
    </w:rPr>
  </w:style>
  <w:style w:type="paragraph" w:styleId="CommentSubject">
    <w:name w:val="annotation subject"/>
    <w:basedOn w:val="CommentText"/>
    <w:next w:val="CommentText"/>
    <w:link w:val="CommentSubjectChar"/>
    <w:uiPriority w:val="99"/>
    <w:unhideWhenUsed/>
    <w:qFormat/>
    <w:rsid w:val="00545386"/>
    <w:rPr>
      <w:b/>
      <w:bCs/>
      <w:sz w:val="20"/>
      <w:szCs w:val="20"/>
    </w:rPr>
  </w:style>
  <w:style w:type="character" w:customStyle="1" w:styleId="CommentSubjectChar">
    <w:name w:val="Comment Subject Char"/>
    <w:link w:val="CommentSubject"/>
    <w:uiPriority w:val="99"/>
    <w:qFormat/>
    <w:rsid w:val="00545386"/>
    <w:rPr>
      <w:rFonts w:ascii="Cambria" w:eastAsia="MS Mincho" w:hAnsi="Cambria"/>
      <w:b/>
      <w:bCs/>
      <w:sz w:val="24"/>
      <w:szCs w:val="24"/>
      <w:lang w:val="en-US" w:eastAsia="ja-JP"/>
    </w:rPr>
  </w:style>
  <w:style w:type="character" w:customStyle="1" w:styleId="FootnoteTextChar">
    <w:name w:val="Footnote Text Char"/>
    <w:aliases w:val="5_G Char,Texto Char,nota Char,pie Char,Ref. Char,al Char,FA Fu Char,FA Fuﬂnotentext Char,Footnote Text Char Char Char Char Char Char,Footnote Text Char Char Char Char Char1,Footnote reference Char,Footnote Text Char Char Char Char1"/>
    <w:link w:val="FootnoteText"/>
    <w:qFormat/>
    <w:rsid w:val="00545386"/>
    <w:rPr>
      <w:rFonts w:eastAsia="SimSun"/>
      <w:sz w:val="18"/>
      <w:lang w:val="en-US" w:eastAsia="zh-CN"/>
    </w:rPr>
  </w:style>
  <w:style w:type="character" w:styleId="HTMLCite">
    <w:name w:val="HTML Cite"/>
    <w:uiPriority w:val="99"/>
    <w:unhideWhenUsed/>
    <w:rsid w:val="00545386"/>
    <w:rPr>
      <w:i/>
      <w:iCs/>
    </w:rPr>
  </w:style>
  <w:style w:type="paragraph" w:customStyle="1" w:styleId="Default">
    <w:name w:val="Default"/>
    <w:rsid w:val="00545386"/>
    <w:pPr>
      <w:widowControl w:val="0"/>
      <w:autoSpaceDE w:val="0"/>
      <w:autoSpaceDN w:val="0"/>
      <w:adjustRightInd w:val="0"/>
    </w:pPr>
    <w:rPr>
      <w:rFonts w:eastAsia="Cambria"/>
      <w:color w:val="000000"/>
      <w:sz w:val="24"/>
      <w:szCs w:val="24"/>
      <w:lang w:val="en-US" w:eastAsia="ja-JP"/>
    </w:rPr>
  </w:style>
  <w:style w:type="paragraph" w:styleId="NormalWeb">
    <w:name w:val="Normal (Web)"/>
    <w:basedOn w:val="Normal"/>
    <w:uiPriority w:val="99"/>
    <w:unhideWhenUsed/>
    <w:qFormat/>
    <w:rsid w:val="00545386"/>
    <w:pPr>
      <w:suppressAutoHyphens w:val="0"/>
      <w:spacing w:before="100" w:beforeAutospacing="1" w:after="100" w:afterAutospacing="1" w:line="240" w:lineRule="auto"/>
    </w:pPr>
    <w:rPr>
      <w:rFonts w:ascii="Times" w:eastAsia="MS Mincho" w:hAnsi="Times"/>
      <w:lang w:val="en-US" w:eastAsia="ja-JP"/>
    </w:rPr>
  </w:style>
  <w:style w:type="character" w:customStyle="1" w:styleId="HeaderChar">
    <w:name w:val="Header Char"/>
    <w:aliases w:val="6_G Char"/>
    <w:link w:val="Header"/>
    <w:uiPriority w:val="99"/>
    <w:qFormat/>
    <w:rsid w:val="00545386"/>
    <w:rPr>
      <w:b/>
      <w:sz w:val="18"/>
      <w:lang w:eastAsia="en-US"/>
    </w:rPr>
  </w:style>
  <w:style w:type="character" w:customStyle="1" w:styleId="FooterChar">
    <w:name w:val="Footer Char"/>
    <w:aliases w:val="3_G Char"/>
    <w:link w:val="Footer"/>
    <w:uiPriority w:val="99"/>
    <w:qFormat/>
    <w:rsid w:val="00545386"/>
    <w:rPr>
      <w:sz w:val="16"/>
      <w:lang w:eastAsia="en-US"/>
    </w:rPr>
  </w:style>
  <w:style w:type="paragraph" w:styleId="Revision">
    <w:name w:val="Revision"/>
    <w:hidden/>
    <w:uiPriority w:val="99"/>
    <w:rsid w:val="00F46917"/>
    <w:rPr>
      <w:lang w:eastAsia="en-US"/>
    </w:rPr>
  </w:style>
  <w:style w:type="paragraph" w:customStyle="1" w:styleId="SingleTxt">
    <w:name w:val="__Single Txt"/>
    <w:basedOn w:val="Normal"/>
    <w:rsid w:val="0048360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NoSpacing">
    <w:name w:val="No Spacing"/>
    <w:link w:val="NoSpacingChar"/>
    <w:uiPriority w:val="1"/>
    <w:qFormat/>
    <w:rsid w:val="00DC32DD"/>
    <w:rPr>
      <w:rFonts w:ascii="Calibri" w:eastAsia="Calibri" w:hAnsi="Calibri"/>
      <w:sz w:val="22"/>
      <w:szCs w:val="22"/>
      <w:lang w:eastAsia="en-US"/>
    </w:rPr>
  </w:style>
  <w:style w:type="character" w:customStyle="1" w:styleId="admitted">
    <w:name w:val="admitted"/>
    <w:basedOn w:val="DefaultParagraphFont"/>
    <w:rsid w:val="004D5337"/>
  </w:style>
  <w:style w:type="character" w:customStyle="1" w:styleId="preferred">
    <w:name w:val="preferred"/>
    <w:basedOn w:val="DefaultParagraphFont"/>
    <w:rsid w:val="00C84A4E"/>
  </w:style>
  <w:style w:type="character" w:styleId="Emphasis">
    <w:name w:val="Emphasis"/>
    <w:uiPriority w:val="20"/>
    <w:qFormat/>
    <w:rsid w:val="00C84A4E"/>
    <w:rPr>
      <w:i/>
      <w:iCs/>
    </w:rPr>
  </w:style>
  <w:style w:type="character" w:customStyle="1" w:styleId="Heading1Char">
    <w:name w:val="Heading 1 Char"/>
    <w:aliases w:val="Table_G Char"/>
    <w:link w:val="Heading1"/>
    <w:uiPriority w:val="9"/>
    <w:rsid w:val="007112E2"/>
    <w:rPr>
      <w:lang w:eastAsia="en-US"/>
    </w:rPr>
  </w:style>
  <w:style w:type="paragraph" w:styleId="BodyText">
    <w:name w:val="Body Text"/>
    <w:basedOn w:val="Normal"/>
    <w:link w:val="BodyTextChar"/>
    <w:unhideWhenUsed/>
    <w:qFormat/>
    <w:rsid w:val="007817C4"/>
    <w:pPr>
      <w:suppressAutoHyphens w:val="0"/>
      <w:spacing w:after="120" w:line="240" w:lineRule="auto"/>
    </w:pPr>
    <w:rPr>
      <w:rFonts w:ascii="Calibri" w:eastAsia="SimSun" w:hAnsi="Calibri" w:cs="Arial"/>
      <w:sz w:val="24"/>
      <w:szCs w:val="24"/>
    </w:rPr>
  </w:style>
  <w:style w:type="character" w:customStyle="1" w:styleId="BodyTextChar">
    <w:name w:val="Body Text Char"/>
    <w:link w:val="BodyText"/>
    <w:rsid w:val="007817C4"/>
    <w:rPr>
      <w:rFonts w:ascii="Calibri" w:eastAsia="SimSun" w:hAnsi="Calibri" w:cs="Arial"/>
      <w:sz w:val="24"/>
      <w:szCs w:val="24"/>
      <w:lang w:eastAsia="en-US"/>
    </w:rPr>
  </w:style>
  <w:style w:type="character" w:customStyle="1" w:styleId="hps">
    <w:name w:val="hps"/>
    <w:basedOn w:val="DefaultParagraphFont"/>
    <w:rsid w:val="00EB54F3"/>
  </w:style>
  <w:style w:type="character" w:customStyle="1" w:styleId="A5">
    <w:name w:val="A5"/>
    <w:uiPriority w:val="99"/>
    <w:rsid w:val="00FC1B16"/>
    <w:rPr>
      <w:rFonts w:cs="Univers LT Std 55"/>
      <w:color w:val="000000"/>
      <w:sz w:val="18"/>
      <w:szCs w:val="18"/>
    </w:rPr>
  </w:style>
  <w:style w:type="character" w:customStyle="1" w:styleId="SingleTxtGChar">
    <w:name w:val="_ Single Txt_G Char"/>
    <w:link w:val="SingleTxtG"/>
    <w:rsid w:val="00690040"/>
    <w:rPr>
      <w:lang w:eastAsia="en-US"/>
    </w:rPr>
  </w:style>
  <w:style w:type="character" w:customStyle="1" w:styleId="HChGChar">
    <w:name w:val="_ H _Ch_G Char"/>
    <w:link w:val="HChG"/>
    <w:rsid w:val="00690040"/>
    <w:rPr>
      <w:b/>
      <w:sz w:val="28"/>
      <w:lang w:eastAsia="en-US"/>
    </w:rPr>
  </w:style>
  <w:style w:type="paragraph" w:customStyle="1" w:styleId="BVIfnrCharCharCharChar">
    <w:name w:val="BVI fnr Char Char Char Char"/>
    <w:aliases w:val="BVI fnr Car Car Char Char Char Char,BVI fnr Car Char Char Char Char,BVI fnr Car Car Car Car Char Char Char Char"/>
    <w:basedOn w:val="Normal"/>
    <w:link w:val="FootnoteReference"/>
    <w:uiPriority w:val="99"/>
    <w:rsid w:val="001C290E"/>
    <w:pPr>
      <w:suppressAutoHyphens w:val="0"/>
      <w:spacing w:after="160" w:line="240" w:lineRule="exact"/>
    </w:pPr>
    <w:rPr>
      <w:sz w:val="18"/>
      <w:vertAlign w:val="superscript"/>
      <w:lang w:eastAsia="en-GB"/>
    </w:rPr>
  </w:style>
  <w:style w:type="character" w:customStyle="1" w:styleId="Heading2Char">
    <w:name w:val="Heading 2 Char"/>
    <w:basedOn w:val="DefaultParagraphFont"/>
    <w:link w:val="Heading2"/>
    <w:uiPriority w:val="9"/>
    <w:rsid w:val="0030412B"/>
    <w:rPr>
      <w:lang w:eastAsia="en-US"/>
    </w:rPr>
  </w:style>
  <w:style w:type="character" w:customStyle="1" w:styleId="Heading3Char">
    <w:name w:val="Heading 3 Char"/>
    <w:basedOn w:val="DefaultParagraphFont"/>
    <w:link w:val="Heading3"/>
    <w:uiPriority w:val="9"/>
    <w:rsid w:val="0030412B"/>
    <w:rPr>
      <w:lang w:eastAsia="en-US"/>
    </w:rPr>
  </w:style>
  <w:style w:type="character" w:customStyle="1" w:styleId="UnresolvedMention1">
    <w:name w:val="Unresolved Mention1"/>
    <w:basedOn w:val="DefaultParagraphFont"/>
    <w:uiPriority w:val="99"/>
    <w:unhideWhenUsed/>
    <w:rsid w:val="0030412B"/>
    <w:rPr>
      <w:color w:val="605E5C"/>
      <w:shd w:val="clear" w:color="auto" w:fill="E1DFDD"/>
    </w:rPr>
  </w:style>
  <w:style w:type="paragraph" w:styleId="TOC1">
    <w:name w:val="toc 1"/>
    <w:basedOn w:val="Normal"/>
    <w:next w:val="Normal"/>
    <w:autoRedefine/>
    <w:uiPriority w:val="39"/>
    <w:unhideWhenUsed/>
    <w:rsid w:val="0030412B"/>
    <w:pPr>
      <w:suppressAutoHyphens w:val="0"/>
      <w:spacing w:after="100" w:line="240" w:lineRule="auto"/>
    </w:pPr>
    <w:rPr>
      <w:sz w:val="24"/>
      <w:szCs w:val="24"/>
      <w:lang w:val="en-NZ"/>
    </w:rPr>
  </w:style>
  <w:style w:type="paragraph" w:styleId="TOC2">
    <w:name w:val="toc 2"/>
    <w:basedOn w:val="Normal"/>
    <w:next w:val="Normal"/>
    <w:autoRedefine/>
    <w:uiPriority w:val="39"/>
    <w:unhideWhenUsed/>
    <w:rsid w:val="0030412B"/>
    <w:pPr>
      <w:suppressAutoHyphens w:val="0"/>
      <w:spacing w:after="100" w:line="240" w:lineRule="auto"/>
      <w:ind w:left="240"/>
    </w:pPr>
    <w:rPr>
      <w:sz w:val="24"/>
      <w:szCs w:val="24"/>
      <w:lang w:val="en-NZ"/>
    </w:rPr>
  </w:style>
  <w:style w:type="paragraph" w:styleId="TOC3">
    <w:name w:val="toc 3"/>
    <w:basedOn w:val="Normal"/>
    <w:next w:val="Normal"/>
    <w:autoRedefine/>
    <w:uiPriority w:val="39"/>
    <w:unhideWhenUsed/>
    <w:rsid w:val="0030412B"/>
    <w:pPr>
      <w:suppressAutoHyphens w:val="0"/>
      <w:spacing w:after="100" w:line="240" w:lineRule="auto"/>
      <w:ind w:left="480"/>
    </w:pPr>
    <w:rPr>
      <w:sz w:val="24"/>
      <w:szCs w:val="24"/>
      <w:lang w:val="en-NZ"/>
    </w:rPr>
  </w:style>
  <w:style w:type="character" w:customStyle="1" w:styleId="highlight">
    <w:name w:val="highlight"/>
    <w:basedOn w:val="DefaultParagraphFont"/>
    <w:rsid w:val="0030412B"/>
  </w:style>
  <w:style w:type="paragraph" w:customStyle="1" w:styleId="source">
    <w:name w:val="source"/>
    <w:basedOn w:val="Normal"/>
    <w:rsid w:val="0030412B"/>
    <w:pPr>
      <w:suppressAutoHyphens w:val="0"/>
      <w:spacing w:before="100" w:beforeAutospacing="1" w:after="100" w:afterAutospacing="1" w:line="240" w:lineRule="auto"/>
    </w:pPr>
    <w:rPr>
      <w:sz w:val="24"/>
      <w:szCs w:val="24"/>
      <w:lang w:val="en-NZ"/>
    </w:rPr>
  </w:style>
  <w:style w:type="character" w:customStyle="1" w:styleId="cit">
    <w:name w:val="cit"/>
    <w:basedOn w:val="DefaultParagraphFont"/>
    <w:rsid w:val="0030412B"/>
  </w:style>
  <w:style w:type="character" w:customStyle="1" w:styleId="fm-citation-ids-label">
    <w:name w:val="fm-citation-ids-label"/>
    <w:basedOn w:val="DefaultParagraphFont"/>
    <w:rsid w:val="0030412B"/>
  </w:style>
  <w:style w:type="character" w:customStyle="1" w:styleId="fm-role">
    <w:name w:val="fm-role"/>
    <w:basedOn w:val="DefaultParagraphFont"/>
    <w:rsid w:val="0030412B"/>
  </w:style>
  <w:style w:type="character" w:customStyle="1" w:styleId="al-author-name-more">
    <w:name w:val="al-author-name-more"/>
    <w:basedOn w:val="DefaultParagraphFont"/>
    <w:rsid w:val="0030412B"/>
  </w:style>
  <w:style w:type="character" w:styleId="Strong">
    <w:name w:val="Strong"/>
    <w:basedOn w:val="DefaultParagraphFont"/>
    <w:uiPriority w:val="22"/>
    <w:qFormat/>
    <w:rsid w:val="0030412B"/>
    <w:rPr>
      <w:b/>
      <w:bCs/>
    </w:rPr>
  </w:style>
  <w:style w:type="paragraph" w:customStyle="1" w:styleId="u-mb-2">
    <w:name w:val="u-mb-2"/>
    <w:basedOn w:val="Normal"/>
    <w:rsid w:val="0030412B"/>
    <w:pPr>
      <w:suppressAutoHyphens w:val="0"/>
      <w:spacing w:before="100" w:beforeAutospacing="1" w:after="100" w:afterAutospacing="1" w:line="240" w:lineRule="auto"/>
    </w:pPr>
    <w:rPr>
      <w:sz w:val="24"/>
      <w:szCs w:val="24"/>
      <w:lang w:val="en-NZ"/>
    </w:rPr>
  </w:style>
  <w:style w:type="character" w:customStyle="1" w:styleId="authorsname">
    <w:name w:val="authors__name"/>
    <w:basedOn w:val="DefaultParagraphFont"/>
    <w:rsid w:val="0030412B"/>
  </w:style>
  <w:style w:type="paragraph" w:customStyle="1" w:styleId="test-locationinconferenceproceeding">
    <w:name w:val="test-locationinconferenceproceeding"/>
    <w:basedOn w:val="Normal"/>
    <w:rsid w:val="0030412B"/>
    <w:pPr>
      <w:suppressAutoHyphens w:val="0"/>
      <w:spacing w:before="100" w:beforeAutospacing="1" w:after="100" w:afterAutospacing="1" w:line="240" w:lineRule="auto"/>
    </w:pPr>
    <w:rPr>
      <w:sz w:val="24"/>
      <w:szCs w:val="24"/>
      <w:lang w:val="en-NZ"/>
    </w:rPr>
  </w:style>
  <w:style w:type="character" w:customStyle="1" w:styleId="booktitle">
    <w:name w:val="booktitle"/>
    <w:basedOn w:val="DefaultParagraphFont"/>
    <w:rsid w:val="0030412B"/>
  </w:style>
  <w:style w:type="character" w:customStyle="1" w:styleId="page-numbers-info">
    <w:name w:val="page-numbers-info"/>
    <w:basedOn w:val="DefaultParagraphFont"/>
    <w:rsid w:val="0030412B"/>
  </w:style>
  <w:style w:type="character" w:customStyle="1" w:styleId="u-inline-block">
    <w:name w:val="u-inline-block"/>
    <w:basedOn w:val="DefaultParagraphFont"/>
    <w:rsid w:val="0030412B"/>
  </w:style>
  <w:style w:type="character" w:customStyle="1" w:styleId="title-text">
    <w:name w:val="title-text"/>
    <w:basedOn w:val="DefaultParagraphFont"/>
    <w:rsid w:val="0030412B"/>
  </w:style>
  <w:style w:type="character" w:customStyle="1" w:styleId="text">
    <w:name w:val="text"/>
    <w:basedOn w:val="DefaultParagraphFont"/>
    <w:rsid w:val="0030412B"/>
  </w:style>
  <w:style w:type="paragraph" w:customStyle="1" w:styleId="author">
    <w:name w:val="author"/>
    <w:basedOn w:val="Normal"/>
    <w:rsid w:val="0030412B"/>
    <w:pPr>
      <w:suppressAutoHyphens w:val="0"/>
      <w:spacing w:before="100" w:beforeAutospacing="1" w:after="100" w:afterAutospacing="1" w:line="240" w:lineRule="auto"/>
    </w:pPr>
    <w:rPr>
      <w:sz w:val="24"/>
      <w:szCs w:val="24"/>
      <w:lang w:val="en-NZ"/>
    </w:rPr>
  </w:style>
  <w:style w:type="paragraph" w:customStyle="1" w:styleId="citation">
    <w:name w:val="citation"/>
    <w:basedOn w:val="Normal"/>
    <w:rsid w:val="0030412B"/>
    <w:pPr>
      <w:suppressAutoHyphens w:val="0"/>
      <w:spacing w:before="100" w:beforeAutospacing="1" w:after="100" w:afterAutospacing="1" w:line="240" w:lineRule="auto"/>
    </w:pPr>
    <w:rPr>
      <w:sz w:val="24"/>
      <w:szCs w:val="24"/>
      <w:lang w:val="en-NZ"/>
    </w:rPr>
  </w:style>
  <w:style w:type="character" w:customStyle="1" w:styleId="number">
    <w:name w:val="number"/>
    <w:basedOn w:val="DefaultParagraphFont"/>
    <w:rsid w:val="0030412B"/>
  </w:style>
  <w:style w:type="paragraph" w:customStyle="1" w:styleId="status">
    <w:name w:val="status"/>
    <w:basedOn w:val="Normal"/>
    <w:rsid w:val="0030412B"/>
    <w:pPr>
      <w:suppressAutoHyphens w:val="0"/>
      <w:spacing w:before="100" w:beforeAutospacing="1" w:after="100" w:afterAutospacing="1" w:line="240" w:lineRule="auto"/>
    </w:pPr>
    <w:rPr>
      <w:sz w:val="24"/>
      <w:szCs w:val="24"/>
      <w:lang w:val="en-NZ"/>
    </w:rPr>
  </w:style>
  <w:style w:type="character" w:customStyle="1" w:styleId="entitled">
    <w:name w:val="entitled"/>
    <w:basedOn w:val="DefaultParagraphFont"/>
    <w:rsid w:val="0030412B"/>
  </w:style>
  <w:style w:type="paragraph" w:customStyle="1" w:styleId="Title1">
    <w:name w:val="Title1"/>
    <w:basedOn w:val="Normal"/>
    <w:rsid w:val="0030412B"/>
    <w:pPr>
      <w:suppressAutoHyphens w:val="0"/>
      <w:spacing w:before="100" w:beforeAutospacing="1" w:after="100" w:afterAutospacing="1" w:line="240" w:lineRule="auto"/>
    </w:pPr>
    <w:rPr>
      <w:sz w:val="24"/>
      <w:szCs w:val="24"/>
      <w:lang w:val="en-NZ"/>
    </w:rPr>
  </w:style>
  <w:style w:type="paragraph" w:customStyle="1" w:styleId="published">
    <w:name w:val="published"/>
    <w:basedOn w:val="Normal"/>
    <w:rsid w:val="0030412B"/>
    <w:pPr>
      <w:suppressAutoHyphens w:val="0"/>
      <w:spacing w:before="100" w:beforeAutospacing="1" w:after="100" w:afterAutospacing="1" w:line="240" w:lineRule="auto"/>
    </w:pPr>
    <w:rPr>
      <w:sz w:val="24"/>
      <w:szCs w:val="24"/>
      <w:lang w:val="en-NZ"/>
    </w:rPr>
  </w:style>
  <w:style w:type="character" w:customStyle="1" w:styleId="Date1">
    <w:name w:val="Date1"/>
    <w:basedOn w:val="DefaultParagraphFont"/>
    <w:rsid w:val="0030412B"/>
  </w:style>
  <w:style w:type="character" w:customStyle="1" w:styleId="NoSpacingChar">
    <w:name w:val="No Spacing Char"/>
    <w:basedOn w:val="DefaultParagraphFont"/>
    <w:link w:val="NoSpacing"/>
    <w:uiPriority w:val="1"/>
    <w:rsid w:val="0030412B"/>
    <w:rPr>
      <w:rFonts w:ascii="Calibri" w:eastAsia="Calibri" w:hAnsi="Calibri"/>
      <w:sz w:val="22"/>
      <w:szCs w:val="22"/>
      <w:lang w:eastAsia="en-US"/>
    </w:rPr>
  </w:style>
  <w:style w:type="character" w:customStyle="1" w:styleId="articlecitationyear">
    <w:name w:val="articlecitation_year"/>
    <w:basedOn w:val="DefaultParagraphFont"/>
    <w:rsid w:val="0030412B"/>
  </w:style>
  <w:style w:type="character" w:customStyle="1" w:styleId="articlecitationvolume">
    <w:name w:val="articlecitation_volume"/>
    <w:basedOn w:val="DefaultParagraphFont"/>
    <w:rsid w:val="0030412B"/>
  </w:style>
  <w:style w:type="numbering" w:customStyle="1" w:styleId="NoList1">
    <w:name w:val="No List1"/>
    <w:next w:val="NoList"/>
    <w:uiPriority w:val="99"/>
    <w:semiHidden/>
    <w:unhideWhenUsed/>
    <w:rsid w:val="001A4E44"/>
  </w:style>
  <w:style w:type="character" w:customStyle="1" w:styleId="Heading4Char">
    <w:name w:val="Heading 4 Char"/>
    <w:basedOn w:val="DefaultParagraphFont"/>
    <w:link w:val="Heading4"/>
    <w:uiPriority w:val="9"/>
    <w:rsid w:val="001A4E44"/>
    <w:rPr>
      <w:lang w:eastAsia="en-US"/>
    </w:rPr>
  </w:style>
  <w:style w:type="character" w:customStyle="1" w:styleId="Heading5Char">
    <w:name w:val="Heading 5 Char"/>
    <w:basedOn w:val="DefaultParagraphFont"/>
    <w:link w:val="Heading5"/>
    <w:uiPriority w:val="9"/>
    <w:rsid w:val="001A4E44"/>
    <w:rPr>
      <w:lang w:eastAsia="en-US"/>
    </w:rPr>
  </w:style>
  <w:style w:type="character" w:customStyle="1" w:styleId="Heading6Char">
    <w:name w:val="Heading 6 Char"/>
    <w:basedOn w:val="DefaultParagraphFont"/>
    <w:link w:val="Heading6"/>
    <w:uiPriority w:val="9"/>
    <w:rsid w:val="001A4E44"/>
    <w:rPr>
      <w:lang w:eastAsia="en-US"/>
    </w:rPr>
  </w:style>
  <w:style w:type="character" w:customStyle="1" w:styleId="Heading7Char">
    <w:name w:val="Heading 7 Char"/>
    <w:basedOn w:val="DefaultParagraphFont"/>
    <w:link w:val="Heading7"/>
    <w:uiPriority w:val="9"/>
    <w:rsid w:val="001A4E44"/>
    <w:rPr>
      <w:lang w:eastAsia="en-US"/>
    </w:rPr>
  </w:style>
  <w:style w:type="character" w:customStyle="1" w:styleId="Heading8Char">
    <w:name w:val="Heading 8 Char"/>
    <w:basedOn w:val="DefaultParagraphFont"/>
    <w:link w:val="Heading8"/>
    <w:uiPriority w:val="9"/>
    <w:rsid w:val="001A4E44"/>
    <w:rPr>
      <w:lang w:eastAsia="en-US"/>
    </w:rPr>
  </w:style>
  <w:style w:type="character" w:customStyle="1" w:styleId="Heading9Char">
    <w:name w:val="Heading 9 Char"/>
    <w:basedOn w:val="DefaultParagraphFont"/>
    <w:link w:val="Heading9"/>
    <w:uiPriority w:val="9"/>
    <w:rsid w:val="001A4E44"/>
    <w:rPr>
      <w:lang w:eastAsia="en-US"/>
    </w:rPr>
  </w:style>
  <w:style w:type="table" w:customStyle="1" w:styleId="TableGrid1">
    <w:name w:val="Table Grid1"/>
    <w:basedOn w:val="TableNormal"/>
    <w:next w:val="TableGrid"/>
    <w:rsid w:val="001A4E44"/>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EndnoteTextChar">
    <w:name w:val="Endnote Text Char"/>
    <w:aliases w:val="2_G Char"/>
    <w:basedOn w:val="DefaultParagraphFont"/>
    <w:link w:val="EndnoteText"/>
    <w:uiPriority w:val="99"/>
    <w:rsid w:val="001A4E44"/>
    <w:rPr>
      <w:rFonts w:eastAsia="SimSun"/>
      <w:sz w:val="18"/>
      <w:lang w:val="en-US" w:eastAsia="zh-CN"/>
    </w:rPr>
  </w:style>
  <w:style w:type="numbering" w:customStyle="1" w:styleId="NoList11">
    <w:name w:val="No List11"/>
    <w:next w:val="NoList"/>
    <w:semiHidden/>
    <w:unhideWhenUsed/>
    <w:rsid w:val="001A4E44"/>
  </w:style>
  <w:style w:type="paragraph" w:customStyle="1" w:styleId="Li">
    <w:name w:val="Li"/>
    <w:basedOn w:val="Normal"/>
    <w:rsid w:val="001A4E44"/>
    <w:pPr>
      <w:suppressAutoHyphens w:val="0"/>
      <w:spacing w:line="240" w:lineRule="auto"/>
    </w:pPr>
    <w:rPr>
      <w:rFonts w:ascii="Helvetica" w:eastAsia="MS Mincho" w:hAnsi="Helvetica"/>
      <w:sz w:val="22"/>
      <w:szCs w:val="24"/>
      <w:lang w:eastAsia="en-GB"/>
    </w:rPr>
  </w:style>
  <w:style w:type="character" w:customStyle="1" w:styleId="A51">
    <w:name w:val="A5+1"/>
    <w:uiPriority w:val="99"/>
    <w:rsid w:val="001A4E44"/>
    <w:rPr>
      <w:rFonts w:cs="CmPrasanmit"/>
      <w:color w:val="000000"/>
      <w:sz w:val="32"/>
      <w:szCs w:val="32"/>
    </w:rPr>
  </w:style>
  <w:style w:type="paragraph" w:customStyle="1" w:styleId="Pa4">
    <w:name w:val="Pa4"/>
    <w:basedOn w:val="Default"/>
    <w:next w:val="Default"/>
    <w:uiPriority w:val="99"/>
    <w:rsid w:val="001A4E44"/>
    <w:pPr>
      <w:widowControl/>
      <w:spacing w:line="241" w:lineRule="atLeast"/>
    </w:pPr>
    <w:rPr>
      <w:rFonts w:ascii="TitilliumMaps29L" w:eastAsia="MS Mincho" w:hAnsi="TitilliumMaps29L"/>
      <w:color w:val="auto"/>
      <w:lang w:val="en-GB"/>
    </w:rPr>
  </w:style>
  <w:style w:type="character" w:customStyle="1" w:styleId="A3">
    <w:name w:val="A3"/>
    <w:uiPriority w:val="99"/>
    <w:rsid w:val="001A4E44"/>
    <w:rPr>
      <w:rFonts w:cs="TitilliumMaps29L"/>
      <w:color w:val="000000"/>
    </w:rPr>
  </w:style>
  <w:style w:type="paragraph" w:customStyle="1" w:styleId="Pa1">
    <w:name w:val="Pa1"/>
    <w:basedOn w:val="Default"/>
    <w:next w:val="Default"/>
    <w:uiPriority w:val="99"/>
    <w:rsid w:val="001A4E44"/>
    <w:pPr>
      <w:widowControl/>
      <w:spacing w:line="241" w:lineRule="atLeast"/>
    </w:pPr>
    <w:rPr>
      <w:rFonts w:ascii="TitilliumMaps29L" w:eastAsia="MS Mincho" w:hAnsi="TitilliumMaps29L"/>
      <w:color w:val="auto"/>
      <w:lang w:val="en-GB"/>
    </w:rPr>
  </w:style>
  <w:style w:type="paragraph" w:customStyle="1" w:styleId="Pa3">
    <w:name w:val="Pa3"/>
    <w:basedOn w:val="Default"/>
    <w:next w:val="Default"/>
    <w:uiPriority w:val="99"/>
    <w:rsid w:val="001A4E44"/>
    <w:pPr>
      <w:widowControl/>
      <w:spacing w:line="241" w:lineRule="atLeast"/>
    </w:pPr>
    <w:rPr>
      <w:rFonts w:ascii="TitilliumMaps29L" w:eastAsia="MS Mincho" w:hAnsi="TitilliumMaps29L"/>
      <w:color w:val="auto"/>
      <w:lang w:val="en-GB"/>
    </w:rPr>
  </w:style>
  <w:style w:type="character" w:customStyle="1" w:styleId="apple-converted-space">
    <w:name w:val="apple-converted-space"/>
    <w:qFormat/>
    <w:rsid w:val="001A4E44"/>
  </w:style>
  <w:style w:type="character" w:customStyle="1" w:styleId="il">
    <w:name w:val="il"/>
    <w:rsid w:val="001A4E44"/>
  </w:style>
  <w:style w:type="paragraph" w:customStyle="1" w:styleId="Style1">
    <w:name w:val="Style1"/>
    <w:basedOn w:val="Normal"/>
    <w:link w:val="Style1Char"/>
    <w:uiPriority w:val="99"/>
    <w:rsid w:val="001A4E44"/>
    <w:pPr>
      <w:suppressAutoHyphens w:val="0"/>
      <w:spacing w:after="240" w:line="480" w:lineRule="auto"/>
    </w:pPr>
    <w:rPr>
      <w:rFonts w:eastAsia="Calibri"/>
      <w:sz w:val="32"/>
      <w:lang w:val="en-US"/>
    </w:rPr>
  </w:style>
  <w:style w:type="character" w:customStyle="1" w:styleId="Style1Char">
    <w:name w:val="Style1 Char"/>
    <w:link w:val="Style1"/>
    <w:uiPriority w:val="99"/>
    <w:locked/>
    <w:rsid w:val="001A4E44"/>
    <w:rPr>
      <w:rFonts w:eastAsia="Calibri"/>
      <w:sz w:val="32"/>
      <w:lang w:val="en-US" w:eastAsia="en-US"/>
    </w:rPr>
  </w:style>
  <w:style w:type="character" w:customStyle="1" w:styleId="caption1">
    <w:name w:val="caption1"/>
    <w:rsid w:val="001A4E44"/>
  </w:style>
  <w:style w:type="character" w:customStyle="1" w:styleId="SingleTxtGCar">
    <w:name w:val="_ Single Txt_G Car"/>
    <w:rsid w:val="001A4E44"/>
    <w:rPr>
      <w:lang w:val="es-ES" w:eastAsia="es-ES" w:bidi="ar-SA"/>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uiPriority w:val="99"/>
    <w:rsid w:val="001A4E44"/>
    <w:pPr>
      <w:suppressAutoHyphens w:val="0"/>
      <w:spacing w:after="160" w:line="240" w:lineRule="exact"/>
      <w:jc w:val="both"/>
    </w:pPr>
    <w:rPr>
      <w:rFonts w:ascii="Cambria" w:eastAsia="MS Mincho" w:hAnsi="Cambria"/>
      <w:sz w:val="24"/>
      <w:szCs w:val="24"/>
      <w:vertAlign w:val="superscript"/>
      <w:lang w:val="de-DE" w:eastAsia="ja-JP"/>
    </w:rPr>
  </w:style>
  <w:style w:type="paragraph" w:customStyle="1" w:styleId="Normal1">
    <w:name w:val="Normal1"/>
    <w:rsid w:val="001A4E44"/>
    <w:rPr>
      <w:rFonts w:ascii="Cambria" w:eastAsia="Cambria" w:hAnsi="Cambria" w:cs="Cambria"/>
      <w:color w:val="000000"/>
      <w:sz w:val="24"/>
      <w:szCs w:val="24"/>
      <w:lang w:val="en-US" w:eastAsia="en-US"/>
    </w:rPr>
  </w:style>
  <w:style w:type="paragraph" w:customStyle="1" w:styleId="ColorfulList-Accent11">
    <w:name w:val="Colorful List - Accent 11"/>
    <w:basedOn w:val="Normal"/>
    <w:uiPriority w:val="34"/>
    <w:qFormat/>
    <w:rsid w:val="001A4E44"/>
    <w:pPr>
      <w:suppressAutoHyphens w:val="0"/>
      <w:spacing w:line="240" w:lineRule="auto"/>
      <w:ind w:left="720"/>
      <w:contextualSpacing/>
    </w:pPr>
    <w:rPr>
      <w:rFonts w:asciiTheme="minorHAnsi" w:eastAsiaTheme="minorHAnsi" w:hAnsiTheme="minorHAnsi" w:cstheme="minorBidi"/>
      <w:color w:val="00000A"/>
      <w:sz w:val="24"/>
      <w:szCs w:val="24"/>
      <w:lang w:val="en-US"/>
    </w:rPr>
  </w:style>
  <w:style w:type="character" w:customStyle="1" w:styleId="selectable">
    <w:name w:val="selectable"/>
    <w:basedOn w:val="DefaultParagraphFont"/>
    <w:qFormat/>
    <w:rsid w:val="001A4E44"/>
  </w:style>
  <w:style w:type="paragraph" w:styleId="HTMLPreformatted">
    <w:name w:val="HTML Preformatted"/>
    <w:basedOn w:val="Normal"/>
    <w:link w:val="HTMLPreformattedChar"/>
    <w:uiPriority w:val="99"/>
    <w:semiHidden/>
    <w:unhideWhenUsed/>
    <w:qFormat/>
    <w:rsid w:val="001A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heme="minorHAnsi" w:hAnsi="Courier New" w:cs="Courier New"/>
      <w:color w:val="00000A"/>
      <w:lang w:val="en-US"/>
    </w:rPr>
  </w:style>
  <w:style w:type="character" w:customStyle="1" w:styleId="HTMLPreformattedChar">
    <w:name w:val="HTML Preformatted Char"/>
    <w:basedOn w:val="DefaultParagraphFont"/>
    <w:link w:val="HTMLPreformatted"/>
    <w:uiPriority w:val="99"/>
    <w:semiHidden/>
    <w:qFormat/>
    <w:rsid w:val="001A4E44"/>
    <w:rPr>
      <w:rFonts w:ascii="Courier New" w:eastAsiaTheme="minorHAnsi" w:hAnsi="Courier New" w:cs="Courier New"/>
      <w:color w:val="00000A"/>
      <w:lang w:val="en-US" w:eastAsia="en-US"/>
    </w:rPr>
  </w:style>
  <w:style w:type="character" w:customStyle="1" w:styleId="InternetLink">
    <w:name w:val="Internet Link"/>
    <w:basedOn w:val="DefaultParagraphFont"/>
    <w:uiPriority w:val="99"/>
    <w:unhideWhenUsed/>
    <w:rsid w:val="001A4E44"/>
    <w:rPr>
      <w:color w:val="0000FF" w:themeColor="hyperlink"/>
      <w:u w:val="single"/>
    </w:rPr>
  </w:style>
  <w:style w:type="character" w:customStyle="1" w:styleId="ListLabel1">
    <w:name w:val="ListLabel 1"/>
    <w:qFormat/>
    <w:rsid w:val="001A4E44"/>
    <w:rPr>
      <w:rFonts w:eastAsia="Calibri"/>
    </w:rPr>
  </w:style>
  <w:style w:type="character" w:customStyle="1" w:styleId="ListLabel2">
    <w:name w:val="ListLabel 2"/>
    <w:qFormat/>
    <w:rsid w:val="001A4E44"/>
    <w:rPr>
      <w:rFonts w:cs="Courier New"/>
    </w:rPr>
  </w:style>
  <w:style w:type="character" w:customStyle="1" w:styleId="ListLabel3">
    <w:name w:val="ListLabel 3"/>
    <w:qFormat/>
    <w:rsid w:val="001A4E44"/>
    <w:rPr>
      <w:rFonts w:cs="Courier New"/>
    </w:rPr>
  </w:style>
  <w:style w:type="character" w:customStyle="1" w:styleId="ListLabel4">
    <w:name w:val="ListLabel 4"/>
    <w:qFormat/>
    <w:rsid w:val="001A4E44"/>
    <w:rPr>
      <w:rFonts w:cs="Courier New"/>
    </w:rPr>
  </w:style>
  <w:style w:type="character" w:customStyle="1" w:styleId="ListLabel5">
    <w:name w:val="ListLabel 5"/>
    <w:qFormat/>
    <w:rsid w:val="001A4E44"/>
    <w:rPr>
      <w:b/>
    </w:rPr>
  </w:style>
  <w:style w:type="character" w:customStyle="1" w:styleId="ListLabel6">
    <w:name w:val="ListLabel 6"/>
    <w:qFormat/>
    <w:rsid w:val="001A4E44"/>
    <w:rPr>
      <w:rFonts w:eastAsia="Calibri"/>
    </w:rPr>
  </w:style>
  <w:style w:type="character" w:customStyle="1" w:styleId="ListLabel7">
    <w:name w:val="ListLabel 7"/>
    <w:qFormat/>
    <w:rsid w:val="001A4E44"/>
    <w:rPr>
      <w:rFonts w:cs="Courier New"/>
    </w:rPr>
  </w:style>
  <w:style w:type="character" w:customStyle="1" w:styleId="ListLabel8">
    <w:name w:val="ListLabel 8"/>
    <w:qFormat/>
    <w:rsid w:val="001A4E44"/>
    <w:rPr>
      <w:rFonts w:cs="Courier New"/>
    </w:rPr>
  </w:style>
  <w:style w:type="character" w:customStyle="1" w:styleId="ListLabel9">
    <w:name w:val="ListLabel 9"/>
    <w:qFormat/>
    <w:rsid w:val="001A4E44"/>
    <w:rPr>
      <w:rFonts w:cs="Courier New"/>
    </w:rPr>
  </w:style>
  <w:style w:type="character" w:customStyle="1" w:styleId="ListLabel10">
    <w:name w:val="ListLabel 10"/>
    <w:qFormat/>
    <w:rsid w:val="001A4E44"/>
    <w:rPr>
      <w:rFonts w:eastAsia="Calibri"/>
    </w:rPr>
  </w:style>
  <w:style w:type="character" w:customStyle="1" w:styleId="ListLabel11">
    <w:name w:val="ListLabel 11"/>
    <w:qFormat/>
    <w:rsid w:val="001A4E44"/>
    <w:rPr>
      <w:rFonts w:cs="Courier New"/>
    </w:rPr>
  </w:style>
  <w:style w:type="character" w:customStyle="1" w:styleId="ListLabel12">
    <w:name w:val="ListLabel 12"/>
    <w:qFormat/>
    <w:rsid w:val="001A4E44"/>
    <w:rPr>
      <w:rFonts w:cs="Courier New"/>
    </w:rPr>
  </w:style>
  <w:style w:type="character" w:customStyle="1" w:styleId="ListLabel13">
    <w:name w:val="ListLabel 13"/>
    <w:qFormat/>
    <w:rsid w:val="001A4E44"/>
    <w:rPr>
      <w:rFonts w:cs="Courier New"/>
    </w:rPr>
  </w:style>
  <w:style w:type="character" w:customStyle="1" w:styleId="ListLabel14">
    <w:name w:val="ListLabel 14"/>
    <w:qFormat/>
    <w:rsid w:val="001A4E44"/>
    <w:rPr>
      <w:rFonts w:eastAsia="Calibri"/>
    </w:rPr>
  </w:style>
  <w:style w:type="character" w:customStyle="1" w:styleId="ListLabel15">
    <w:name w:val="ListLabel 15"/>
    <w:qFormat/>
    <w:rsid w:val="001A4E44"/>
    <w:rPr>
      <w:rFonts w:cs="Courier New"/>
    </w:rPr>
  </w:style>
  <w:style w:type="character" w:customStyle="1" w:styleId="ListLabel16">
    <w:name w:val="ListLabel 16"/>
    <w:qFormat/>
    <w:rsid w:val="001A4E44"/>
    <w:rPr>
      <w:rFonts w:cs="Courier New"/>
    </w:rPr>
  </w:style>
  <w:style w:type="character" w:customStyle="1" w:styleId="ListLabel17">
    <w:name w:val="ListLabel 17"/>
    <w:qFormat/>
    <w:rsid w:val="001A4E44"/>
    <w:rPr>
      <w:rFonts w:cs="Courier New"/>
    </w:rPr>
  </w:style>
  <w:style w:type="character" w:customStyle="1" w:styleId="ListLabel18">
    <w:name w:val="ListLabel 18"/>
    <w:qFormat/>
    <w:rsid w:val="001A4E44"/>
    <w:rPr>
      <w:rFonts w:eastAsia="Calibri"/>
    </w:rPr>
  </w:style>
  <w:style w:type="character" w:customStyle="1" w:styleId="ListLabel19">
    <w:name w:val="ListLabel 19"/>
    <w:qFormat/>
    <w:rsid w:val="001A4E44"/>
    <w:rPr>
      <w:rFonts w:cs="Courier New"/>
    </w:rPr>
  </w:style>
  <w:style w:type="character" w:customStyle="1" w:styleId="ListLabel20">
    <w:name w:val="ListLabel 20"/>
    <w:qFormat/>
    <w:rsid w:val="001A4E44"/>
    <w:rPr>
      <w:rFonts w:cs="Courier New"/>
    </w:rPr>
  </w:style>
  <w:style w:type="character" w:customStyle="1" w:styleId="ListLabel21">
    <w:name w:val="ListLabel 21"/>
    <w:qFormat/>
    <w:rsid w:val="001A4E44"/>
    <w:rPr>
      <w:rFonts w:cs="Courier New"/>
    </w:rPr>
  </w:style>
  <w:style w:type="character" w:customStyle="1" w:styleId="ListLabel22">
    <w:name w:val="ListLabel 22"/>
    <w:qFormat/>
    <w:rsid w:val="001A4E44"/>
    <w:rPr>
      <w:rFonts w:eastAsia="Calibri"/>
    </w:rPr>
  </w:style>
  <w:style w:type="character" w:customStyle="1" w:styleId="ListLabel23">
    <w:name w:val="ListLabel 23"/>
    <w:qFormat/>
    <w:rsid w:val="001A4E44"/>
    <w:rPr>
      <w:rFonts w:cs="Courier New"/>
    </w:rPr>
  </w:style>
  <w:style w:type="character" w:customStyle="1" w:styleId="ListLabel24">
    <w:name w:val="ListLabel 24"/>
    <w:qFormat/>
    <w:rsid w:val="001A4E44"/>
    <w:rPr>
      <w:rFonts w:cs="Courier New"/>
    </w:rPr>
  </w:style>
  <w:style w:type="character" w:customStyle="1" w:styleId="ListLabel25">
    <w:name w:val="ListLabel 25"/>
    <w:qFormat/>
    <w:rsid w:val="001A4E44"/>
    <w:rPr>
      <w:rFonts w:cs="Courier New"/>
    </w:rPr>
  </w:style>
  <w:style w:type="character" w:customStyle="1" w:styleId="ListLabel26">
    <w:name w:val="ListLabel 26"/>
    <w:qFormat/>
    <w:rsid w:val="001A4E44"/>
    <w:rPr>
      <w:rFonts w:eastAsia="Calibri"/>
    </w:rPr>
  </w:style>
  <w:style w:type="character" w:customStyle="1" w:styleId="ListLabel27">
    <w:name w:val="ListLabel 27"/>
    <w:qFormat/>
    <w:rsid w:val="001A4E44"/>
    <w:rPr>
      <w:rFonts w:cs="Courier New"/>
    </w:rPr>
  </w:style>
  <w:style w:type="character" w:customStyle="1" w:styleId="ListLabel28">
    <w:name w:val="ListLabel 28"/>
    <w:qFormat/>
    <w:rsid w:val="001A4E44"/>
    <w:rPr>
      <w:rFonts w:cs="Courier New"/>
    </w:rPr>
  </w:style>
  <w:style w:type="character" w:customStyle="1" w:styleId="ListLabel29">
    <w:name w:val="ListLabel 29"/>
    <w:qFormat/>
    <w:rsid w:val="001A4E44"/>
    <w:rPr>
      <w:rFonts w:cs="Courier New"/>
    </w:rPr>
  </w:style>
  <w:style w:type="character" w:customStyle="1" w:styleId="ListLabel30">
    <w:name w:val="ListLabel 30"/>
    <w:qFormat/>
    <w:rsid w:val="001A4E44"/>
    <w:rPr>
      <w:rFonts w:eastAsia="Calibri"/>
    </w:rPr>
  </w:style>
  <w:style w:type="character" w:customStyle="1" w:styleId="ListLabel31">
    <w:name w:val="ListLabel 31"/>
    <w:qFormat/>
    <w:rsid w:val="001A4E44"/>
    <w:rPr>
      <w:rFonts w:cs="Courier New"/>
    </w:rPr>
  </w:style>
  <w:style w:type="character" w:customStyle="1" w:styleId="ListLabel32">
    <w:name w:val="ListLabel 32"/>
    <w:qFormat/>
    <w:rsid w:val="001A4E44"/>
    <w:rPr>
      <w:rFonts w:cs="Courier New"/>
    </w:rPr>
  </w:style>
  <w:style w:type="character" w:customStyle="1" w:styleId="ListLabel33">
    <w:name w:val="ListLabel 33"/>
    <w:qFormat/>
    <w:rsid w:val="001A4E44"/>
    <w:rPr>
      <w:rFonts w:cs="Courier New"/>
    </w:rPr>
  </w:style>
  <w:style w:type="character" w:customStyle="1" w:styleId="ListLabel34">
    <w:name w:val="ListLabel 34"/>
    <w:qFormat/>
    <w:rsid w:val="001A4E44"/>
    <w:rPr>
      <w:rFonts w:eastAsia="Calibri"/>
      <w:u w:val="none"/>
    </w:rPr>
  </w:style>
  <w:style w:type="character" w:customStyle="1" w:styleId="ListLabel35">
    <w:name w:val="ListLabel 35"/>
    <w:qFormat/>
    <w:rsid w:val="001A4E44"/>
    <w:rPr>
      <w:rFonts w:cs="Courier New"/>
    </w:rPr>
  </w:style>
  <w:style w:type="character" w:customStyle="1" w:styleId="ListLabel36">
    <w:name w:val="ListLabel 36"/>
    <w:qFormat/>
    <w:rsid w:val="001A4E44"/>
    <w:rPr>
      <w:rFonts w:cs="Courier New"/>
    </w:rPr>
  </w:style>
  <w:style w:type="character" w:customStyle="1" w:styleId="ListLabel37">
    <w:name w:val="ListLabel 37"/>
    <w:qFormat/>
    <w:rsid w:val="001A4E44"/>
    <w:rPr>
      <w:rFonts w:cs="Courier New"/>
    </w:rPr>
  </w:style>
  <w:style w:type="character" w:customStyle="1" w:styleId="ListLabel38">
    <w:name w:val="ListLabel 38"/>
    <w:qFormat/>
    <w:rsid w:val="001A4E44"/>
    <w:rPr>
      <w:rFonts w:eastAsia="Calibri"/>
    </w:rPr>
  </w:style>
  <w:style w:type="character" w:customStyle="1" w:styleId="ListLabel39">
    <w:name w:val="ListLabel 39"/>
    <w:qFormat/>
    <w:rsid w:val="001A4E44"/>
    <w:rPr>
      <w:rFonts w:cs="Courier New"/>
    </w:rPr>
  </w:style>
  <w:style w:type="character" w:customStyle="1" w:styleId="ListLabel40">
    <w:name w:val="ListLabel 40"/>
    <w:qFormat/>
    <w:rsid w:val="001A4E44"/>
    <w:rPr>
      <w:rFonts w:cs="Courier New"/>
    </w:rPr>
  </w:style>
  <w:style w:type="character" w:customStyle="1" w:styleId="ListLabel41">
    <w:name w:val="ListLabel 41"/>
    <w:qFormat/>
    <w:rsid w:val="001A4E44"/>
    <w:rPr>
      <w:rFonts w:cs="Courier New"/>
    </w:rPr>
  </w:style>
  <w:style w:type="character" w:customStyle="1" w:styleId="ListLabel42">
    <w:name w:val="ListLabel 42"/>
    <w:qFormat/>
    <w:rsid w:val="001A4E44"/>
    <w:rPr>
      <w:rFonts w:eastAsia="Calibri"/>
    </w:rPr>
  </w:style>
  <w:style w:type="character" w:customStyle="1" w:styleId="ListLabel43">
    <w:name w:val="ListLabel 43"/>
    <w:qFormat/>
    <w:rsid w:val="001A4E44"/>
    <w:rPr>
      <w:rFonts w:cs="Courier New"/>
    </w:rPr>
  </w:style>
  <w:style w:type="character" w:customStyle="1" w:styleId="ListLabel44">
    <w:name w:val="ListLabel 44"/>
    <w:qFormat/>
    <w:rsid w:val="001A4E44"/>
    <w:rPr>
      <w:rFonts w:cs="Courier New"/>
    </w:rPr>
  </w:style>
  <w:style w:type="character" w:customStyle="1" w:styleId="ListLabel45">
    <w:name w:val="ListLabel 45"/>
    <w:qFormat/>
    <w:rsid w:val="001A4E44"/>
    <w:rPr>
      <w:rFonts w:cs="Courier New"/>
    </w:rPr>
  </w:style>
  <w:style w:type="character" w:customStyle="1" w:styleId="ListLabel46">
    <w:name w:val="ListLabel 46"/>
    <w:qFormat/>
    <w:rsid w:val="001A4E44"/>
    <w:rPr>
      <w:rFonts w:eastAsia="Calibri"/>
    </w:rPr>
  </w:style>
  <w:style w:type="character" w:customStyle="1" w:styleId="ListLabel47">
    <w:name w:val="ListLabel 47"/>
    <w:qFormat/>
    <w:rsid w:val="001A4E44"/>
    <w:rPr>
      <w:rFonts w:cs="Courier New"/>
    </w:rPr>
  </w:style>
  <w:style w:type="character" w:customStyle="1" w:styleId="ListLabel48">
    <w:name w:val="ListLabel 48"/>
    <w:qFormat/>
    <w:rsid w:val="001A4E44"/>
    <w:rPr>
      <w:rFonts w:cs="Courier New"/>
    </w:rPr>
  </w:style>
  <w:style w:type="character" w:customStyle="1" w:styleId="ListLabel49">
    <w:name w:val="ListLabel 49"/>
    <w:qFormat/>
    <w:rsid w:val="001A4E44"/>
    <w:rPr>
      <w:rFonts w:cs="Courier New"/>
    </w:rPr>
  </w:style>
  <w:style w:type="character" w:customStyle="1" w:styleId="ListLabel50">
    <w:name w:val="ListLabel 50"/>
    <w:qFormat/>
    <w:rsid w:val="001A4E44"/>
    <w:rPr>
      <w:rFonts w:eastAsia="Calibri"/>
    </w:rPr>
  </w:style>
  <w:style w:type="character" w:customStyle="1" w:styleId="ListLabel51">
    <w:name w:val="ListLabel 51"/>
    <w:qFormat/>
    <w:rsid w:val="001A4E44"/>
    <w:rPr>
      <w:rFonts w:cs="Courier New"/>
    </w:rPr>
  </w:style>
  <w:style w:type="character" w:customStyle="1" w:styleId="ListLabel52">
    <w:name w:val="ListLabel 52"/>
    <w:qFormat/>
    <w:rsid w:val="001A4E44"/>
    <w:rPr>
      <w:rFonts w:cs="Courier New"/>
    </w:rPr>
  </w:style>
  <w:style w:type="character" w:customStyle="1" w:styleId="ListLabel53">
    <w:name w:val="ListLabel 53"/>
    <w:qFormat/>
    <w:rsid w:val="001A4E44"/>
    <w:rPr>
      <w:rFonts w:cs="Courier New"/>
    </w:rPr>
  </w:style>
  <w:style w:type="character" w:customStyle="1" w:styleId="ListLabel54">
    <w:name w:val="ListLabel 54"/>
    <w:qFormat/>
    <w:rsid w:val="001A4E44"/>
    <w:rPr>
      <w:rFonts w:cs="Courier New"/>
    </w:rPr>
  </w:style>
  <w:style w:type="character" w:customStyle="1" w:styleId="ListLabel55">
    <w:name w:val="ListLabel 55"/>
    <w:qFormat/>
    <w:rsid w:val="001A4E44"/>
    <w:rPr>
      <w:rFonts w:cs="Courier New"/>
    </w:rPr>
  </w:style>
  <w:style w:type="character" w:customStyle="1" w:styleId="ListLabel56">
    <w:name w:val="ListLabel 56"/>
    <w:qFormat/>
    <w:rsid w:val="001A4E44"/>
    <w:rPr>
      <w:rFonts w:cs="Courier New"/>
    </w:rPr>
  </w:style>
  <w:style w:type="character" w:customStyle="1" w:styleId="ListLabel57">
    <w:name w:val="ListLabel 57"/>
    <w:qFormat/>
    <w:rsid w:val="001A4E44"/>
    <w:rPr>
      <w:rFonts w:cs="Courier New"/>
    </w:rPr>
  </w:style>
  <w:style w:type="character" w:customStyle="1" w:styleId="ListLabel58">
    <w:name w:val="ListLabel 58"/>
    <w:qFormat/>
    <w:rsid w:val="001A4E44"/>
    <w:rPr>
      <w:rFonts w:cs="Courier New"/>
    </w:rPr>
  </w:style>
  <w:style w:type="character" w:customStyle="1" w:styleId="ListLabel59">
    <w:name w:val="ListLabel 59"/>
    <w:qFormat/>
    <w:rsid w:val="001A4E44"/>
    <w:rPr>
      <w:rFonts w:cs="Courier New"/>
    </w:rPr>
  </w:style>
  <w:style w:type="character" w:customStyle="1" w:styleId="FootnoteCharacters">
    <w:name w:val="Footnote Characters"/>
    <w:qFormat/>
    <w:rsid w:val="001A4E44"/>
  </w:style>
  <w:style w:type="character" w:customStyle="1" w:styleId="FootnoteAnchor">
    <w:name w:val="Footnote Anchor"/>
    <w:rsid w:val="001A4E44"/>
    <w:rPr>
      <w:vertAlign w:val="superscript"/>
    </w:rPr>
  </w:style>
  <w:style w:type="character" w:customStyle="1" w:styleId="EndnoteAnchor">
    <w:name w:val="Endnote Anchor"/>
    <w:rsid w:val="001A4E44"/>
    <w:rPr>
      <w:vertAlign w:val="superscript"/>
    </w:rPr>
  </w:style>
  <w:style w:type="character" w:customStyle="1" w:styleId="EndnoteCharacters">
    <w:name w:val="Endnote Characters"/>
    <w:qFormat/>
    <w:rsid w:val="001A4E44"/>
  </w:style>
  <w:style w:type="character" w:customStyle="1" w:styleId="ListLabel60">
    <w:name w:val="ListLabel 60"/>
    <w:qFormat/>
    <w:rsid w:val="001A4E44"/>
    <w:rPr>
      <w:b/>
    </w:rPr>
  </w:style>
  <w:style w:type="paragraph" w:customStyle="1" w:styleId="Heading">
    <w:name w:val="Heading"/>
    <w:basedOn w:val="Normal"/>
    <w:next w:val="BodyText"/>
    <w:qFormat/>
    <w:rsid w:val="001A4E44"/>
    <w:pPr>
      <w:keepNext/>
      <w:suppressAutoHyphens w:val="0"/>
      <w:spacing w:before="240" w:after="120" w:line="240" w:lineRule="auto"/>
    </w:pPr>
    <w:rPr>
      <w:rFonts w:ascii="Liberation Sans" w:eastAsia="DejaVu Sans" w:hAnsi="Liberation Sans" w:cs="FreeSans"/>
      <w:color w:val="00000A"/>
      <w:sz w:val="28"/>
      <w:szCs w:val="28"/>
      <w:lang w:val="en-US"/>
    </w:rPr>
  </w:style>
  <w:style w:type="paragraph" w:styleId="List">
    <w:name w:val="List"/>
    <w:basedOn w:val="BodyText"/>
    <w:rsid w:val="001A4E44"/>
    <w:pPr>
      <w:spacing w:after="140" w:line="288" w:lineRule="auto"/>
    </w:pPr>
    <w:rPr>
      <w:rFonts w:asciiTheme="minorHAnsi" w:eastAsiaTheme="minorHAnsi" w:hAnsiTheme="minorHAnsi" w:cs="FreeSans"/>
      <w:color w:val="00000A"/>
      <w:lang w:val="en-US"/>
    </w:rPr>
  </w:style>
  <w:style w:type="paragraph" w:styleId="Caption">
    <w:name w:val="caption"/>
    <w:basedOn w:val="Normal"/>
    <w:qFormat/>
    <w:rsid w:val="001A4E44"/>
    <w:pPr>
      <w:suppressLineNumbers/>
      <w:suppressAutoHyphens w:val="0"/>
      <w:spacing w:before="120" w:after="120" w:line="240" w:lineRule="auto"/>
    </w:pPr>
    <w:rPr>
      <w:rFonts w:asciiTheme="minorHAnsi" w:eastAsiaTheme="minorHAnsi" w:hAnsiTheme="minorHAnsi" w:cs="FreeSans"/>
      <w:i/>
      <w:iCs/>
      <w:color w:val="00000A"/>
      <w:sz w:val="24"/>
      <w:szCs w:val="24"/>
      <w:lang w:val="en-US"/>
    </w:rPr>
  </w:style>
  <w:style w:type="paragraph" w:customStyle="1" w:styleId="Index">
    <w:name w:val="Index"/>
    <w:basedOn w:val="Normal"/>
    <w:qFormat/>
    <w:rsid w:val="001A4E44"/>
    <w:pPr>
      <w:suppressLineNumbers/>
      <w:suppressAutoHyphens w:val="0"/>
      <w:spacing w:line="240" w:lineRule="auto"/>
    </w:pPr>
    <w:rPr>
      <w:rFonts w:asciiTheme="minorHAnsi" w:eastAsiaTheme="minorHAnsi" w:hAnsiTheme="minorHAnsi" w:cs="FreeSans"/>
      <w:color w:val="00000A"/>
      <w:sz w:val="24"/>
      <w:szCs w:val="24"/>
      <w:lang w:val="en-US"/>
    </w:rPr>
  </w:style>
  <w:style w:type="paragraph" w:customStyle="1" w:styleId="FrameContents">
    <w:name w:val="Frame Contents"/>
    <w:basedOn w:val="Normal"/>
    <w:qFormat/>
    <w:rsid w:val="001A4E44"/>
    <w:pPr>
      <w:suppressAutoHyphens w:val="0"/>
      <w:spacing w:line="240" w:lineRule="auto"/>
    </w:pPr>
    <w:rPr>
      <w:rFonts w:asciiTheme="minorHAnsi" w:eastAsiaTheme="minorHAnsi" w:hAnsiTheme="minorHAnsi" w:cstheme="minorBidi"/>
      <w:color w:val="00000A"/>
      <w:sz w:val="24"/>
      <w:szCs w:val="24"/>
      <w:lang w:val="en-US"/>
    </w:rPr>
  </w:style>
  <w:style w:type="character" w:customStyle="1" w:styleId="Hyperlink0">
    <w:name w:val="Hyperlink.0"/>
    <w:rsid w:val="001A4E44"/>
    <w:rPr>
      <w:color w:val="000000"/>
      <w:u w:val="none" w:color="000000"/>
    </w:rPr>
  </w:style>
  <w:style w:type="numbering" w:customStyle="1" w:styleId="List0">
    <w:name w:val="List 0"/>
    <w:basedOn w:val="NoList"/>
    <w:rsid w:val="001A4E44"/>
    <w:pPr>
      <w:numPr>
        <w:numId w:val="23"/>
      </w:numPr>
    </w:pPr>
  </w:style>
  <w:style w:type="character" w:customStyle="1" w:styleId="Hyperlink4">
    <w:name w:val="Hyperlink.4"/>
    <w:rsid w:val="001A4E44"/>
    <w:rPr>
      <w:sz w:val="18"/>
      <w:szCs w:val="18"/>
    </w:rPr>
  </w:style>
  <w:style w:type="character" w:customStyle="1" w:styleId="Hyperlink5">
    <w:name w:val="Hyperlink.5"/>
    <w:basedOn w:val="DefaultParagraphFont"/>
    <w:rsid w:val="001A4E44"/>
  </w:style>
  <w:style w:type="character" w:customStyle="1" w:styleId="Subtitle1">
    <w:name w:val="Subtitle1"/>
    <w:basedOn w:val="DefaultParagraphFont"/>
    <w:rsid w:val="001A4E44"/>
  </w:style>
  <w:style w:type="paragraph" w:customStyle="1" w:styleId="css-1i0edl6">
    <w:name w:val="css-1i0edl6"/>
    <w:basedOn w:val="Normal"/>
    <w:rsid w:val="001A4E44"/>
    <w:pPr>
      <w:suppressAutoHyphens w:val="0"/>
      <w:spacing w:before="100" w:beforeAutospacing="1" w:after="100" w:afterAutospacing="1" w:line="240" w:lineRule="auto"/>
    </w:pPr>
    <w:rPr>
      <w:sz w:val="24"/>
      <w:szCs w:val="24"/>
    </w:rPr>
  </w:style>
  <w:style w:type="character" w:customStyle="1" w:styleId="a-size-large">
    <w:name w:val="a-size-large"/>
    <w:basedOn w:val="DefaultParagraphFont"/>
    <w:rsid w:val="001A4E44"/>
  </w:style>
  <w:style w:type="character" w:customStyle="1" w:styleId="UnresolvedMention2">
    <w:name w:val="Unresolved Mention2"/>
    <w:basedOn w:val="DefaultParagraphFont"/>
    <w:uiPriority w:val="99"/>
    <w:unhideWhenUsed/>
    <w:rsid w:val="001A4E44"/>
    <w:rPr>
      <w:color w:val="605E5C"/>
      <w:shd w:val="clear" w:color="auto" w:fill="E1DFDD"/>
    </w:rPr>
  </w:style>
  <w:style w:type="character" w:customStyle="1" w:styleId="sb8d990e2">
    <w:name w:val="sb8d990e2"/>
    <w:basedOn w:val="DefaultParagraphFont"/>
    <w:rsid w:val="001A4E44"/>
  </w:style>
  <w:style w:type="character" w:customStyle="1" w:styleId="UnresolvedMention3">
    <w:name w:val="Unresolved Mention3"/>
    <w:basedOn w:val="DefaultParagraphFont"/>
    <w:uiPriority w:val="99"/>
    <w:semiHidden/>
    <w:unhideWhenUsed/>
    <w:rsid w:val="001A4E44"/>
    <w:rPr>
      <w:color w:val="605E5C"/>
      <w:shd w:val="clear" w:color="auto" w:fill="E1DFDD"/>
    </w:rPr>
  </w:style>
  <w:style w:type="character" w:customStyle="1" w:styleId="UnresolvedMention4">
    <w:name w:val="Unresolved Mention4"/>
    <w:basedOn w:val="DefaultParagraphFont"/>
    <w:uiPriority w:val="99"/>
    <w:semiHidden/>
    <w:unhideWhenUsed/>
    <w:rsid w:val="00F33F5E"/>
    <w:rPr>
      <w:color w:val="605E5C"/>
      <w:shd w:val="clear" w:color="auto" w:fill="E1DFDD"/>
    </w:rPr>
  </w:style>
  <w:style w:type="character" w:customStyle="1" w:styleId="UnresolvedMention">
    <w:name w:val="Unresolved Mention"/>
    <w:basedOn w:val="DefaultParagraphFont"/>
    <w:uiPriority w:val="99"/>
    <w:semiHidden/>
    <w:unhideWhenUsed/>
    <w:rsid w:val="00B62F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uiPriority="99" w:qFormat="1"/>
    <w:lsdException w:name="header" w:uiPriority="99"/>
    <w:lsdException w:name="footer" w:uiPriority="99"/>
    <w:lsdException w:name="caption" w:qFormat="1"/>
    <w:lsdException w:name="footnote reference" w:qFormat="1"/>
    <w:lsdException w:name="annotation reference" w:uiPriority="99" w:qFormat="1"/>
    <w:lsdException w:name="page number" w:uiPriority="99" w:qFormat="1"/>
    <w:lsdException w:name="endnote text"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qFormat="1"/>
    <w:lsdException w:name="Strong" w:semiHidden="0" w:uiPriority="22" w:unhideWhenUsed="0" w:qFormat="1"/>
    <w:lsdException w:name="Emphasis" w:semiHidden="0" w:uiPriority="20" w:unhideWhenUsed="0" w:qFormat="1"/>
    <w:lsdException w:name="Normal (Web)" w:uiPriority="99" w:qFormat="1"/>
    <w:lsdException w:name="HTML Cite" w:uiPriority="99"/>
    <w:lsdException w:name="HTML Preformatted" w:uiPriority="99" w:qFormat="1"/>
    <w:lsdException w:name="annotation subject" w:uiPriority="99" w:qFormat="1"/>
    <w:lsdException w:name="No List" w:uiPriority="99"/>
    <w:lsdException w:name="Balloon Text" w:uiPriority="99" w:qFormat="1"/>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qFormat/>
    <w:rsid w:val="00CF0214"/>
    <w:pPr>
      <w:spacing w:line="240" w:lineRule="auto"/>
      <w:outlineLvl w:val="7"/>
    </w:pPr>
  </w:style>
  <w:style w:type="paragraph" w:styleId="Heading9">
    <w:name w:val="heading 9"/>
    <w:basedOn w:val="Normal"/>
    <w:next w:val="Normal"/>
    <w:link w:val="Heading9Char"/>
    <w:uiPriority w:val="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Appel note de bas de p.,Footnote text,ftref,Texto de nota al pie,referencia nota al pie,Appel note de bas de page,Footnote Ref,16 Point,Superscript 6 Point,Ref,de nota al pie,callout,Footnote,Footnote Refernece,f"/>
    <w:link w:val="BVIfnrCharCharCharChar"/>
    <w:qFormat/>
    <w:rsid w:val="006575AE"/>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qForma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Texto,nota,pie,Ref.,al,FA Fu,FA Fuﬂnotentext,Footnote Text Char Char Char Char Char,Footnote Text Char Char Char Char,Footnote reference,Footnote Text Char Char Char,Texto nota pie Car Car,Texto nota pie Car Car Car,Footnote Text Cha"/>
    <w:basedOn w:val="Normal"/>
    <w:link w:val="FootnoteTextChar"/>
    <w:qFormat/>
    <w:rsid w:val="006575A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uiPriority w:val="99"/>
    <w:rsid w:val="00CF0214"/>
  </w:style>
  <w:style w:type="character" w:styleId="PageNumber">
    <w:name w:val="page number"/>
    <w:aliases w:val="7_G"/>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1"/>
    <w:uiPriority w:val="99"/>
    <w:unhideWhenUsed/>
    <w:qFormat/>
    <w:rsid w:val="00545386"/>
    <w:pPr>
      <w:suppressAutoHyphens w:val="0"/>
      <w:spacing w:line="240" w:lineRule="auto"/>
    </w:pPr>
    <w:rPr>
      <w:rFonts w:ascii="Lucida Grande" w:eastAsia="MS Mincho" w:hAnsi="Lucida Grande" w:cs="Lucida Grande"/>
      <w:sz w:val="18"/>
      <w:szCs w:val="18"/>
      <w:lang w:val="en-US" w:eastAsia="ja-JP"/>
    </w:rPr>
  </w:style>
  <w:style w:type="character" w:customStyle="1" w:styleId="BalloonTextChar">
    <w:name w:val="Balloon Text Char"/>
    <w:uiPriority w:val="99"/>
    <w:qFormat/>
    <w:rsid w:val="00545386"/>
    <w:rPr>
      <w:rFonts w:ascii="Tahoma" w:hAnsi="Tahoma" w:cs="Tahoma"/>
      <w:sz w:val="16"/>
      <w:szCs w:val="16"/>
      <w:lang w:eastAsia="en-US"/>
    </w:rPr>
  </w:style>
  <w:style w:type="paragraph" w:styleId="ListParagraph">
    <w:name w:val="List Paragraph"/>
    <w:basedOn w:val="Normal"/>
    <w:uiPriority w:val="34"/>
    <w:qFormat/>
    <w:rsid w:val="00545386"/>
    <w:pPr>
      <w:suppressAutoHyphens w:val="0"/>
      <w:spacing w:line="240" w:lineRule="auto"/>
      <w:ind w:left="720"/>
      <w:contextualSpacing/>
    </w:pPr>
    <w:rPr>
      <w:rFonts w:ascii="Cambria" w:eastAsia="MS Mincho" w:hAnsi="Cambria"/>
      <w:sz w:val="24"/>
      <w:szCs w:val="24"/>
      <w:lang w:val="en-US" w:eastAsia="ja-JP"/>
    </w:rPr>
  </w:style>
  <w:style w:type="character" w:styleId="CommentReference">
    <w:name w:val="annotation reference"/>
    <w:uiPriority w:val="99"/>
    <w:unhideWhenUsed/>
    <w:qFormat/>
    <w:rsid w:val="00545386"/>
    <w:rPr>
      <w:sz w:val="18"/>
      <w:szCs w:val="18"/>
    </w:rPr>
  </w:style>
  <w:style w:type="paragraph" w:styleId="CommentText">
    <w:name w:val="annotation text"/>
    <w:basedOn w:val="Normal"/>
    <w:link w:val="CommentTextChar"/>
    <w:uiPriority w:val="99"/>
    <w:unhideWhenUsed/>
    <w:qFormat/>
    <w:rsid w:val="00545386"/>
    <w:pPr>
      <w:suppressAutoHyphens w:val="0"/>
      <w:spacing w:line="240" w:lineRule="auto"/>
    </w:pPr>
    <w:rPr>
      <w:rFonts w:ascii="Cambria" w:eastAsia="MS Mincho" w:hAnsi="Cambria"/>
      <w:sz w:val="24"/>
      <w:szCs w:val="24"/>
      <w:lang w:val="en-US" w:eastAsia="ja-JP"/>
    </w:rPr>
  </w:style>
  <w:style w:type="character" w:customStyle="1" w:styleId="CommentTextChar">
    <w:name w:val="Comment Text Char"/>
    <w:link w:val="CommentText"/>
    <w:uiPriority w:val="99"/>
    <w:qFormat/>
    <w:rsid w:val="00545386"/>
    <w:rPr>
      <w:rFonts w:ascii="Cambria" w:eastAsia="MS Mincho" w:hAnsi="Cambria"/>
      <w:sz w:val="24"/>
      <w:szCs w:val="24"/>
      <w:lang w:val="en-US" w:eastAsia="ja-JP"/>
    </w:rPr>
  </w:style>
  <w:style w:type="character" w:customStyle="1" w:styleId="BalloonTextChar1">
    <w:name w:val="Balloon Text Char1"/>
    <w:link w:val="BalloonText"/>
    <w:uiPriority w:val="99"/>
    <w:rsid w:val="00545386"/>
    <w:rPr>
      <w:rFonts w:ascii="Lucida Grande" w:eastAsia="MS Mincho" w:hAnsi="Lucida Grande" w:cs="Lucida Grande"/>
      <w:sz w:val="18"/>
      <w:szCs w:val="18"/>
      <w:lang w:val="en-US" w:eastAsia="ja-JP"/>
    </w:rPr>
  </w:style>
  <w:style w:type="paragraph" w:styleId="CommentSubject">
    <w:name w:val="annotation subject"/>
    <w:basedOn w:val="CommentText"/>
    <w:next w:val="CommentText"/>
    <w:link w:val="CommentSubjectChar"/>
    <w:uiPriority w:val="99"/>
    <w:unhideWhenUsed/>
    <w:qFormat/>
    <w:rsid w:val="00545386"/>
    <w:rPr>
      <w:b/>
      <w:bCs/>
      <w:sz w:val="20"/>
      <w:szCs w:val="20"/>
    </w:rPr>
  </w:style>
  <w:style w:type="character" w:customStyle="1" w:styleId="CommentSubjectChar">
    <w:name w:val="Comment Subject Char"/>
    <w:link w:val="CommentSubject"/>
    <w:uiPriority w:val="99"/>
    <w:qFormat/>
    <w:rsid w:val="00545386"/>
    <w:rPr>
      <w:rFonts w:ascii="Cambria" w:eastAsia="MS Mincho" w:hAnsi="Cambria"/>
      <w:b/>
      <w:bCs/>
      <w:sz w:val="24"/>
      <w:szCs w:val="24"/>
      <w:lang w:val="en-US" w:eastAsia="ja-JP"/>
    </w:rPr>
  </w:style>
  <w:style w:type="character" w:customStyle="1" w:styleId="FootnoteTextChar">
    <w:name w:val="Footnote Text Char"/>
    <w:aliases w:val="5_G Char,Texto Char,nota Char,pie Char,Ref. Char,al Char,FA Fu Char,FA Fuﬂnotentext Char,Footnote Text Char Char Char Char Char Char,Footnote Text Char Char Char Char Char1,Footnote reference Char,Footnote Text Char Char Char Char1"/>
    <w:link w:val="FootnoteText"/>
    <w:qFormat/>
    <w:rsid w:val="00545386"/>
    <w:rPr>
      <w:rFonts w:eastAsia="SimSun"/>
      <w:sz w:val="18"/>
      <w:lang w:val="en-US" w:eastAsia="zh-CN"/>
    </w:rPr>
  </w:style>
  <w:style w:type="character" w:styleId="HTMLCite">
    <w:name w:val="HTML Cite"/>
    <w:uiPriority w:val="99"/>
    <w:unhideWhenUsed/>
    <w:rsid w:val="00545386"/>
    <w:rPr>
      <w:i/>
      <w:iCs/>
    </w:rPr>
  </w:style>
  <w:style w:type="paragraph" w:customStyle="1" w:styleId="Default">
    <w:name w:val="Default"/>
    <w:rsid w:val="00545386"/>
    <w:pPr>
      <w:widowControl w:val="0"/>
      <w:autoSpaceDE w:val="0"/>
      <w:autoSpaceDN w:val="0"/>
      <w:adjustRightInd w:val="0"/>
    </w:pPr>
    <w:rPr>
      <w:rFonts w:eastAsia="Cambria"/>
      <w:color w:val="000000"/>
      <w:sz w:val="24"/>
      <w:szCs w:val="24"/>
      <w:lang w:val="en-US" w:eastAsia="ja-JP"/>
    </w:rPr>
  </w:style>
  <w:style w:type="paragraph" w:styleId="NormalWeb">
    <w:name w:val="Normal (Web)"/>
    <w:basedOn w:val="Normal"/>
    <w:uiPriority w:val="99"/>
    <w:unhideWhenUsed/>
    <w:qFormat/>
    <w:rsid w:val="00545386"/>
    <w:pPr>
      <w:suppressAutoHyphens w:val="0"/>
      <w:spacing w:before="100" w:beforeAutospacing="1" w:after="100" w:afterAutospacing="1" w:line="240" w:lineRule="auto"/>
    </w:pPr>
    <w:rPr>
      <w:rFonts w:ascii="Times" w:eastAsia="MS Mincho" w:hAnsi="Times"/>
      <w:lang w:val="en-US" w:eastAsia="ja-JP"/>
    </w:rPr>
  </w:style>
  <w:style w:type="character" w:customStyle="1" w:styleId="HeaderChar">
    <w:name w:val="Header Char"/>
    <w:aliases w:val="6_G Char"/>
    <w:link w:val="Header"/>
    <w:uiPriority w:val="99"/>
    <w:qFormat/>
    <w:rsid w:val="00545386"/>
    <w:rPr>
      <w:b/>
      <w:sz w:val="18"/>
      <w:lang w:eastAsia="en-US"/>
    </w:rPr>
  </w:style>
  <w:style w:type="character" w:customStyle="1" w:styleId="FooterChar">
    <w:name w:val="Footer Char"/>
    <w:aliases w:val="3_G Char"/>
    <w:link w:val="Footer"/>
    <w:uiPriority w:val="99"/>
    <w:qFormat/>
    <w:rsid w:val="00545386"/>
    <w:rPr>
      <w:sz w:val="16"/>
      <w:lang w:eastAsia="en-US"/>
    </w:rPr>
  </w:style>
  <w:style w:type="paragraph" w:styleId="Revision">
    <w:name w:val="Revision"/>
    <w:hidden/>
    <w:uiPriority w:val="99"/>
    <w:rsid w:val="00F46917"/>
    <w:rPr>
      <w:lang w:eastAsia="en-US"/>
    </w:rPr>
  </w:style>
  <w:style w:type="paragraph" w:customStyle="1" w:styleId="SingleTxt">
    <w:name w:val="__Single Txt"/>
    <w:basedOn w:val="Normal"/>
    <w:rsid w:val="0048360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styleId="NoSpacing">
    <w:name w:val="No Spacing"/>
    <w:link w:val="NoSpacingChar"/>
    <w:uiPriority w:val="1"/>
    <w:qFormat/>
    <w:rsid w:val="00DC32DD"/>
    <w:rPr>
      <w:rFonts w:ascii="Calibri" w:eastAsia="Calibri" w:hAnsi="Calibri"/>
      <w:sz w:val="22"/>
      <w:szCs w:val="22"/>
      <w:lang w:eastAsia="en-US"/>
    </w:rPr>
  </w:style>
  <w:style w:type="character" w:customStyle="1" w:styleId="admitted">
    <w:name w:val="admitted"/>
    <w:basedOn w:val="DefaultParagraphFont"/>
    <w:rsid w:val="004D5337"/>
  </w:style>
  <w:style w:type="character" w:customStyle="1" w:styleId="preferred">
    <w:name w:val="preferred"/>
    <w:basedOn w:val="DefaultParagraphFont"/>
    <w:rsid w:val="00C84A4E"/>
  </w:style>
  <w:style w:type="character" w:styleId="Emphasis">
    <w:name w:val="Emphasis"/>
    <w:uiPriority w:val="20"/>
    <w:qFormat/>
    <w:rsid w:val="00C84A4E"/>
    <w:rPr>
      <w:i/>
      <w:iCs/>
    </w:rPr>
  </w:style>
  <w:style w:type="character" w:customStyle="1" w:styleId="Heading1Char">
    <w:name w:val="Heading 1 Char"/>
    <w:aliases w:val="Table_G Char"/>
    <w:link w:val="Heading1"/>
    <w:uiPriority w:val="9"/>
    <w:rsid w:val="007112E2"/>
    <w:rPr>
      <w:lang w:eastAsia="en-US"/>
    </w:rPr>
  </w:style>
  <w:style w:type="paragraph" w:styleId="BodyText">
    <w:name w:val="Body Text"/>
    <w:basedOn w:val="Normal"/>
    <w:link w:val="BodyTextChar"/>
    <w:unhideWhenUsed/>
    <w:qFormat/>
    <w:rsid w:val="007817C4"/>
    <w:pPr>
      <w:suppressAutoHyphens w:val="0"/>
      <w:spacing w:after="120" w:line="240" w:lineRule="auto"/>
    </w:pPr>
    <w:rPr>
      <w:rFonts w:ascii="Calibri" w:eastAsia="SimSun" w:hAnsi="Calibri" w:cs="Arial"/>
      <w:sz w:val="24"/>
      <w:szCs w:val="24"/>
    </w:rPr>
  </w:style>
  <w:style w:type="character" w:customStyle="1" w:styleId="BodyTextChar">
    <w:name w:val="Body Text Char"/>
    <w:link w:val="BodyText"/>
    <w:rsid w:val="007817C4"/>
    <w:rPr>
      <w:rFonts w:ascii="Calibri" w:eastAsia="SimSun" w:hAnsi="Calibri" w:cs="Arial"/>
      <w:sz w:val="24"/>
      <w:szCs w:val="24"/>
      <w:lang w:eastAsia="en-US"/>
    </w:rPr>
  </w:style>
  <w:style w:type="character" w:customStyle="1" w:styleId="hps">
    <w:name w:val="hps"/>
    <w:basedOn w:val="DefaultParagraphFont"/>
    <w:rsid w:val="00EB54F3"/>
  </w:style>
  <w:style w:type="character" w:customStyle="1" w:styleId="A5">
    <w:name w:val="A5"/>
    <w:uiPriority w:val="99"/>
    <w:rsid w:val="00FC1B16"/>
    <w:rPr>
      <w:rFonts w:cs="Univers LT Std 55"/>
      <w:color w:val="000000"/>
      <w:sz w:val="18"/>
      <w:szCs w:val="18"/>
    </w:rPr>
  </w:style>
  <w:style w:type="character" w:customStyle="1" w:styleId="SingleTxtGChar">
    <w:name w:val="_ Single Txt_G Char"/>
    <w:link w:val="SingleTxtG"/>
    <w:rsid w:val="00690040"/>
    <w:rPr>
      <w:lang w:eastAsia="en-US"/>
    </w:rPr>
  </w:style>
  <w:style w:type="character" w:customStyle="1" w:styleId="HChGChar">
    <w:name w:val="_ H _Ch_G Char"/>
    <w:link w:val="HChG"/>
    <w:rsid w:val="00690040"/>
    <w:rPr>
      <w:b/>
      <w:sz w:val="28"/>
      <w:lang w:eastAsia="en-US"/>
    </w:rPr>
  </w:style>
  <w:style w:type="paragraph" w:customStyle="1" w:styleId="BVIfnrCharCharCharChar">
    <w:name w:val="BVI fnr Char Char Char Char"/>
    <w:aliases w:val="BVI fnr Car Car Char Char Char Char,BVI fnr Car Char Char Char Char,BVI fnr Car Car Car Car Char Char Char Char"/>
    <w:basedOn w:val="Normal"/>
    <w:link w:val="FootnoteReference"/>
    <w:uiPriority w:val="99"/>
    <w:rsid w:val="001C290E"/>
    <w:pPr>
      <w:suppressAutoHyphens w:val="0"/>
      <w:spacing w:after="160" w:line="240" w:lineRule="exact"/>
    </w:pPr>
    <w:rPr>
      <w:sz w:val="18"/>
      <w:vertAlign w:val="superscript"/>
      <w:lang w:eastAsia="en-GB"/>
    </w:rPr>
  </w:style>
  <w:style w:type="character" w:customStyle="1" w:styleId="Heading2Char">
    <w:name w:val="Heading 2 Char"/>
    <w:basedOn w:val="DefaultParagraphFont"/>
    <w:link w:val="Heading2"/>
    <w:uiPriority w:val="9"/>
    <w:rsid w:val="0030412B"/>
    <w:rPr>
      <w:lang w:eastAsia="en-US"/>
    </w:rPr>
  </w:style>
  <w:style w:type="character" w:customStyle="1" w:styleId="Heading3Char">
    <w:name w:val="Heading 3 Char"/>
    <w:basedOn w:val="DefaultParagraphFont"/>
    <w:link w:val="Heading3"/>
    <w:uiPriority w:val="9"/>
    <w:rsid w:val="0030412B"/>
    <w:rPr>
      <w:lang w:eastAsia="en-US"/>
    </w:rPr>
  </w:style>
  <w:style w:type="character" w:customStyle="1" w:styleId="UnresolvedMention1">
    <w:name w:val="Unresolved Mention1"/>
    <w:basedOn w:val="DefaultParagraphFont"/>
    <w:uiPriority w:val="99"/>
    <w:unhideWhenUsed/>
    <w:rsid w:val="0030412B"/>
    <w:rPr>
      <w:color w:val="605E5C"/>
      <w:shd w:val="clear" w:color="auto" w:fill="E1DFDD"/>
    </w:rPr>
  </w:style>
  <w:style w:type="paragraph" w:styleId="TOC1">
    <w:name w:val="toc 1"/>
    <w:basedOn w:val="Normal"/>
    <w:next w:val="Normal"/>
    <w:autoRedefine/>
    <w:uiPriority w:val="39"/>
    <w:unhideWhenUsed/>
    <w:rsid w:val="0030412B"/>
    <w:pPr>
      <w:suppressAutoHyphens w:val="0"/>
      <w:spacing w:after="100" w:line="240" w:lineRule="auto"/>
    </w:pPr>
    <w:rPr>
      <w:sz w:val="24"/>
      <w:szCs w:val="24"/>
      <w:lang w:val="en-NZ"/>
    </w:rPr>
  </w:style>
  <w:style w:type="paragraph" w:styleId="TOC2">
    <w:name w:val="toc 2"/>
    <w:basedOn w:val="Normal"/>
    <w:next w:val="Normal"/>
    <w:autoRedefine/>
    <w:uiPriority w:val="39"/>
    <w:unhideWhenUsed/>
    <w:rsid w:val="0030412B"/>
    <w:pPr>
      <w:suppressAutoHyphens w:val="0"/>
      <w:spacing w:after="100" w:line="240" w:lineRule="auto"/>
      <w:ind w:left="240"/>
    </w:pPr>
    <w:rPr>
      <w:sz w:val="24"/>
      <w:szCs w:val="24"/>
      <w:lang w:val="en-NZ"/>
    </w:rPr>
  </w:style>
  <w:style w:type="paragraph" w:styleId="TOC3">
    <w:name w:val="toc 3"/>
    <w:basedOn w:val="Normal"/>
    <w:next w:val="Normal"/>
    <w:autoRedefine/>
    <w:uiPriority w:val="39"/>
    <w:unhideWhenUsed/>
    <w:rsid w:val="0030412B"/>
    <w:pPr>
      <w:suppressAutoHyphens w:val="0"/>
      <w:spacing w:after="100" w:line="240" w:lineRule="auto"/>
      <w:ind w:left="480"/>
    </w:pPr>
    <w:rPr>
      <w:sz w:val="24"/>
      <w:szCs w:val="24"/>
      <w:lang w:val="en-NZ"/>
    </w:rPr>
  </w:style>
  <w:style w:type="character" w:customStyle="1" w:styleId="highlight">
    <w:name w:val="highlight"/>
    <w:basedOn w:val="DefaultParagraphFont"/>
    <w:rsid w:val="0030412B"/>
  </w:style>
  <w:style w:type="paragraph" w:customStyle="1" w:styleId="source">
    <w:name w:val="source"/>
    <w:basedOn w:val="Normal"/>
    <w:rsid w:val="0030412B"/>
    <w:pPr>
      <w:suppressAutoHyphens w:val="0"/>
      <w:spacing w:before="100" w:beforeAutospacing="1" w:after="100" w:afterAutospacing="1" w:line="240" w:lineRule="auto"/>
    </w:pPr>
    <w:rPr>
      <w:sz w:val="24"/>
      <w:szCs w:val="24"/>
      <w:lang w:val="en-NZ"/>
    </w:rPr>
  </w:style>
  <w:style w:type="character" w:customStyle="1" w:styleId="cit">
    <w:name w:val="cit"/>
    <w:basedOn w:val="DefaultParagraphFont"/>
    <w:rsid w:val="0030412B"/>
  </w:style>
  <w:style w:type="character" w:customStyle="1" w:styleId="fm-citation-ids-label">
    <w:name w:val="fm-citation-ids-label"/>
    <w:basedOn w:val="DefaultParagraphFont"/>
    <w:rsid w:val="0030412B"/>
  </w:style>
  <w:style w:type="character" w:customStyle="1" w:styleId="fm-role">
    <w:name w:val="fm-role"/>
    <w:basedOn w:val="DefaultParagraphFont"/>
    <w:rsid w:val="0030412B"/>
  </w:style>
  <w:style w:type="character" w:customStyle="1" w:styleId="al-author-name-more">
    <w:name w:val="al-author-name-more"/>
    <w:basedOn w:val="DefaultParagraphFont"/>
    <w:rsid w:val="0030412B"/>
  </w:style>
  <w:style w:type="character" w:styleId="Strong">
    <w:name w:val="Strong"/>
    <w:basedOn w:val="DefaultParagraphFont"/>
    <w:uiPriority w:val="22"/>
    <w:qFormat/>
    <w:rsid w:val="0030412B"/>
    <w:rPr>
      <w:b/>
      <w:bCs/>
    </w:rPr>
  </w:style>
  <w:style w:type="paragraph" w:customStyle="1" w:styleId="u-mb-2">
    <w:name w:val="u-mb-2"/>
    <w:basedOn w:val="Normal"/>
    <w:rsid w:val="0030412B"/>
    <w:pPr>
      <w:suppressAutoHyphens w:val="0"/>
      <w:spacing w:before="100" w:beforeAutospacing="1" w:after="100" w:afterAutospacing="1" w:line="240" w:lineRule="auto"/>
    </w:pPr>
    <w:rPr>
      <w:sz w:val="24"/>
      <w:szCs w:val="24"/>
      <w:lang w:val="en-NZ"/>
    </w:rPr>
  </w:style>
  <w:style w:type="character" w:customStyle="1" w:styleId="authorsname">
    <w:name w:val="authors__name"/>
    <w:basedOn w:val="DefaultParagraphFont"/>
    <w:rsid w:val="0030412B"/>
  </w:style>
  <w:style w:type="paragraph" w:customStyle="1" w:styleId="test-locationinconferenceproceeding">
    <w:name w:val="test-locationinconferenceproceeding"/>
    <w:basedOn w:val="Normal"/>
    <w:rsid w:val="0030412B"/>
    <w:pPr>
      <w:suppressAutoHyphens w:val="0"/>
      <w:spacing w:before="100" w:beforeAutospacing="1" w:after="100" w:afterAutospacing="1" w:line="240" w:lineRule="auto"/>
    </w:pPr>
    <w:rPr>
      <w:sz w:val="24"/>
      <w:szCs w:val="24"/>
      <w:lang w:val="en-NZ"/>
    </w:rPr>
  </w:style>
  <w:style w:type="character" w:customStyle="1" w:styleId="booktitle">
    <w:name w:val="booktitle"/>
    <w:basedOn w:val="DefaultParagraphFont"/>
    <w:rsid w:val="0030412B"/>
  </w:style>
  <w:style w:type="character" w:customStyle="1" w:styleId="page-numbers-info">
    <w:name w:val="page-numbers-info"/>
    <w:basedOn w:val="DefaultParagraphFont"/>
    <w:rsid w:val="0030412B"/>
  </w:style>
  <w:style w:type="character" w:customStyle="1" w:styleId="u-inline-block">
    <w:name w:val="u-inline-block"/>
    <w:basedOn w:val="DefaultParagraphFont"/>
    <w:rsid w:val="0030412B"/>
  </w:style>
  <w:style w:type="character" w:customStyle="1" w:styleId="title-text">
    <w:name w:val="title-text"/>
    <w:basedOn w:val="DefaultParagraphFont"/>
    <w:rsid w:val="0030412B"/>
  </w:style>
  <w:style w:type="character" w:customStyle="1" w:styleId="text">
    <w:name w:val="text"/>
    <w:basedOn w:val="DefaultParagraphFont"/>
    <w:rsid w:val="0030412B"/>
  </w:style>
  <w:style w:type="paragraph" w:customStyle="1" w:styleId="author">
    <w:name w:val="author"/>
    <w:basedOn w:val="Normal"/>
    <w:rsid w:val="0030412B"/>
    <w:pPr>
      <w:suppressAutoHyphens w:val="0"/>
      <w:spacing w:before="100" w:beforeAutospacing="1" w:after="100" w:afterAutospacing="1" w:line="240" w:lineRule="auto"/>
    </w:pPr>
    <w:rPr>
      <w:sz w:val="24"/>
      <w:szCs w:val="24"/>
      <w:lang w:val="en-NZ"/>
    </w:rPr>
  </w:style>
  <w:style w:type="paragraph" w:customStyle="1" w:styleId="citation">
    <w:name w:val="citation"/>
    <w:basedOn w:val="Normal"/>
    <w:rsid w:val="0030412B"/>
    <w:pPr>
      <w:suppressAutoHyphens w:val="0"/>
      <w:spacing w:before="100" w:beforeAutospacing="1" w:after="100" w:afterAutospacing="1" w:line="240" w:lineRule="auto"/>
    </w:pPr>
    <w:rPr>
      <w:sz w:val="24"/>
      <w:szCs w:val="24"/>
      <w:lang w:val="en-NZ"/>
    </w:rPr>
  </w:style>
  <w:style w:type="character" w:customStyle="1" w:styleId="number">
    <w:name w:val="number"/>
    <w:basedOn w:val="DefaultParagraphFont"/>
    <w:rsid w:val="0030412B"/>
  </w:style>
  <w:style w:type="paragraph" w:customStyle="1" w:styleId="status">
    <w:name w:val="status"/>
    <w:basedOn w:val="Normal"/>
    <w:rsid w:val="0030412B"/>
    <w:pPr>
      <w:suppressAutoHyphens w:val="0"/>
      <w:spacing w:before="100" w:beforeAutospacing="1" w:after="100" w:afterAutospacing="1" w:line="240" w:lineRule="auto"/>
    </w:pPr>
    <w:rPr>
      <w:sz w:val="24"/>
      <w:szCs w:val="24"/>
      <w:lang w:val="en-NZ"/>
    </w:rPr>
  </w:style>
  <w:style w:type="character" w:customStyle="1" w:styleId="entitled">
    <w:name w:val="entitled"/>
    <w:basedOn w:val="DefaultParagraphFont"/>
    <w:rsid w:val="0030412B"/>
  </w:style>
  <w:style w:type="paragraph" w:customStyle="1" w:styleId="Title1">
    <w:name w:val="Title1"/>
    <w:basedOn w:val="Normal"/>
    <w:rsid w:val="0030412B"/>
    <w:pPr>
      <w:suppressAutoHyphens w:val="0"/>
      <w:spacing w:before="100" w:beforeAutospacing="1" w:after="100" w:afterAutospacing="1" w:line="240" w:lineRule="auto"/>
    </w:pPr>
    <w:rPr>
      <w:sz w:val="24"/>
      <w:szCs w:val="24"/>
      <w:lang w:val="en-NZ"/>
    </w:rPr>
  </w:style>
  <w:style w:type="paragraph" w:customStyle="1" w:styleId="published">
    <w:name w:val="published"/>
    <w:basedOn w:val="Normal"/>
    <w:rsid w:val="0030412B"/>
    <w:pPr>
      <w:suppressAutoHyphens w:val="0"/>
      <w:spacing w:before="100" w:beforeAutospacing="1" w:after="100" w:afterAutospacing="1" w:line="240" w:lineRule="auto"/>
    </w:pPr>
    <w:rPr>
      <w:sz w:val="24"/>
      <w:szCs w:val="24"/>
      <w:lang w:val="en-NZ"/>
    </w:rPr>
  </w:style>
  <w:style w:type="character" w:customStyle="1" w:styleId="Date1">
    <w:name w:val="Date1"/>
    <w:basedOn w:val="DefaultParagraphFont"/>
    <w:rsid w:val="0030412B"/>
  </w:style>
  <w:style w:type="character" w:customStyle="1" w:styleId="NoSpacingChar">
    <w:name w:val="No Spacing Char"/>
    <w:basedOn w:val="DefaultParagraphFont"/>
    <w:link w:val="NoSpacing"/>
    <w:uiPriority w:val="1"/>
    <w:rsid w:val="0030412B"/>
    <w:rPr>
      <w:rFonts w:ascii="Calibri" w:eastAsia="Calibri" w:hAnsi="Calibri"/>
      <w:sz w:val="22"/>
      <w:szCs w:val="22"/>
      <w:lang w:eastAsia="en-US"/>
    </w:rPr>
  </w:style>
  <w:style w:type="character" w:customStyle="1" w:styleId="articlecitationyear">
    <w:name w:val="articlecitation_year"/>
    <w:basedOn w:val="DefaultParagraphFont"/>
    <w:rsid w:val="0030412B"/>
  </w:style>
  <w:style w:type="character" w:customStyle="1" w:styleId="articlecitationvolume">
    <w:name w:val="articlecitation_volume"/>
    <w:basedOn w:val="DefaultParagraphFont"/>
    <w:rsid w:val="0030412B"/>
  </w:style>
  <w:style w:type="numbering" w:customStyle="1" w:styleId="NoList1">
    <w:name w:val="No List1"/>
    <w:next w:val="NoList"/>
    <w:uiPriority w:val="99"/>
    <w:semiHidden/>
    <w:unhideWhenUsed/>
    <w:rsid w:val="001A4E44"/>
  </w:style>
  <w:style w:type="character" w:customStyle="1" w:styleId="Heading4Char">
    <w:name w:val="Heading 4 Char"/>
    <w:basedOn w:val="DefaultParagraphFont"/>
    <w:link w:val="Heading4"/>
    <w:uiPriority w:val="9"/>
    <w:rsid w:val="001A4E44"/>
    <w:rPr>
      <w:lang w:eastAsia="en-US"/>
    </w:rPr>
  </w:style>
  <w:style w:type="character" w:customStyle="1" w:styleId="Heading5Char">
    <w:name w:val="Heading 5 Char"/>
    <w:basedOn w:val="DefaultParagraphFont"/>
    <w:link w:val="Heading5"/>
    <w:uiPriority w:val="9"/>
    <w:rsid w:val="001A4E44"/>
    <w:rPr>
      <w:lang w:eastAsia="en-US"/>
    </w:rPr>
  </w:style>
  <w:style w:type="character" w:customStyle="1" w:styleId="Heading6Char">
    <w:name w:val="Heading 6 Char"/>
    <w:basedOn w:val="DefaultParagraphFont"/>
    <w:link w:val="Heading6"/>
    <w:uiPriority w:val="9"/>
    <w:rsid w:val="001A4E44"/>
    <w:rPr>
      <w:lang w:eastAsia="en-US"/>
    </w:rPr>
  </w:style>
  <w:style w:type="character" w:customStyle="1" w:styleId="Heading7Char">
    <w:name w:val="Heading 7 Char"/>
    <w:basedOn w:val="DefaultParagraphFont"/>
    <w:link w:val="Heading7"/>
    <w:uiPriority w:val="9"/>
    <w:rsid w:val="001A4E44"/>
    <w:rPr>
      <w:lang w:eastAsia="en-US"/>
    </w:rPr>
  </w:style>
  <w:style w:type="character" w:customStyle="1" w:styleId="Heading8Char">
    <w:name w:val="Heading 8 Char"/>
    <w:basedOn w:val="DefaultParagraphFont"/>
    <w:link w:val="Heading8"/>
    <w:uiPriority w:val="9"/>
    <w:rsid w:val="001A4E44"/>
    <w:rPr>
      <w:lang w:eastAsia="en-US"/>
    </w:rPr>
  </w:style>
  <w:style w:type="character" w:customStyle="1" w:styleId="Heading9Char">
    <w:name w:val="Heading 9 Char"/>
    <w:basedOn w:val="DefaultParagraphFont"/>
    <w:link w:val="Heading9"/>
    <w:uiPriority w:val="9"/>
    <w:rsid w:val="001A4E44"/>
    <w:rPr>
      <w:lang w:eastAsia="en-US"/>
    </w:rPr>
  </w:style>
  <w:style w:type="table" w:customStyle="1" w:styleId="TableGrid1">
    <w:name w:val="Table Grid1"/>
    <w:basedOn w:val="TableNormal"/>
    <w:next w:val="TableGrid"/>
    <w:rsid w:val="001A4E44"/>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EndnoteTextChar">
    <w:name w:val="Endnote Text Char"/>
    <w:aliases w:val="2_G Char"/>
    <w:basedOn w:val="DefaultParagraphFont"/>
    <w:link w:val="EndnoteText"/>
    <w:uiPriority w:val="99"/>
    <w:rsid w:val="001A4E44"/>
    <w:rPr>
      <w:rFonts w:eastAsia="SimSun"/>
      <w:sz w:val="18"/>
      <w:lang w:val="en-US" w:eastAsia="zh-CN"/>
    </w:rPr>
  </w:style>
  <w:style w:type="numbering" w:customStyle="1" w:styleId="NoList11">
    <w:name w:val="No List11"/>
    <w:next w:val="NoList"/>
    <w:semiHidden/>
    <w:unhideWhenUsed/>
    <w:rsid w:val="001A4E44"/>
  </w:style>
  <w:style w:type="paragraph" w:customStyle="1" w:styleId="Li">
    <w:name w:val="Li"/>
    <w:basedOn w:val="Normal"/>
    <w:rsid w:val="001A4E44"/>
    <w:pPr>
      <w:suppressAutoHyphens w:val="0"/>
      <w:spacing w:line="240" w:lineRule="auto"/>
    </w:pPr>
    <w:rPr>
      <w:rFonts w:ascii="Helvetica" w:eastAsia="MS Mincho" w:hAnsi="Helvetica"/>
      <w:sz w:val="22"/>
      <w:szCs w:val="24"/>
      <w:lang w:eastAsia="en-GB"/>
    </w:rPr>
  </w:style>
  <w:style w:type="character" w:customStyle="1" w:styleId="A51">
    <w:name w:val="A5+1"/>
    <w:uiPriority w:val="99"/>
    <w:rsid w:val="001A4E44"/>
    <w:rPr>
      <w:rFonts w:cs="CmPrasanmit"/>
      <w:color w:val="000000"/>
      <w:sz w:val="32"/>
      <w:szCs w:val="32"/>
    </w:rPr>
  </w:style>
  <w:style w:type="paragraph" w:customStyle="1" w:styleId="Pa4">
    <w:name w:val="Pa4"/>
    <w:basedOn w:val="Default"/>
    <w:next w:val="Default"/>
    <w:uiPriority w:val="99"/>
    <w:rsid w:val="001A4E44"/>
    <w:pPr>
      <w:widowControl/>
      <w:spacing w:line="241" w:lineRule="atLeast"/>
    </w:pPr>
    <w:rPr>
      <w:rFonts w:ascii="TitilliumMaps29L" w:eastAsia="MS Mincho" w:hAnsi="TitilliumMaps29L"/>
      <w:color w:val="auto"/>
      <w:lang w:val="en-GB"/>
    </w:rPr>
  </w:style>
  <w:style w:type="character" w:customStyle="1" w:styleId="A3">
    <w:name w:val="A3"/>
    <w:uiPriority w:val="99"/>
    <w:rsid w:val="001A4E44"/>
    <w:rPr>
      <w:rFonts w:cs="TitilliumMaps29L"/>
      <w:color w:val="000000"/>
    </w:rPr>
  </w:style>
  <w:style w:type="paragraph" w:customStyle="1" w:styleId="Pa1">
    <w:name w:val="Pa1"/>
    <w:basedOn w:val="Default"/>
    <w:next w:val="Default"/>
    <w:uiPriority w:val="99"/>
    <w:rsid w:val="001A4E44"/>
    <w:pPr>
      <w:widowControl/>
      <w:spacing w:line="241" w:lineRule="atLeast"/>
    </w:pPr>
    <w:rPr>
      <w:rFonts w:ascii="TitilliumMaps29L" w:eastAsia="MS Mincho" w:hAnsi="TitilliumMaps29L"/>
      <w:color w:val="auto"/>
      <w:lang w:val="en-GB"/>
    </w:rPr>
  </w:style>
  <w:style w:type="paragraph" w:customStyle="1" w:styleId="Pa3">
    <w:name w:val="Pa3"/>
    <w:basedOn w:val="Default"/>
    <w:next w:val="Default"/>
    <w:uiPriority w:val="99"/>
    <w:rsid w:val="001A4E44"/>
    <w:pPr>
      <w:widowControl/>
      <w:spacing w:line="241" w:lineRule="atLeast"/>
    </w:pPr>
    <w:rPr>
      <w:rFonts w:ascii="TitilliumMaps29L" w:eastAsia="MS Mincho" w:hAnsi="TitilliumMaps29L"/>
      <w:color w:val="auto"/>
      <w:lang w:val="en-GB"/>
    </w:rPr>
  </w:style>
  <w:style w:type="character" w:customStyle="1" w:styleId="apple-converted-space">
    <w:name w:val="apple-converted-space"/>
    <w:qFormat/>
    <w:rsid w:val="001A4E44"/>
  </w:style>
  <w:style w:type="character" w:customStyle="1" w:styleId="il">
    <w:name w:val="il"/>
    <w:rsid w:val="001A4E44"/>
  </w:style>
  <w:style w:type="paragraph" w:customStyle="1" w:styleId="Style1">
    <w:name w:val="Style1"/>
    <w:basedOn w:val="Normal"/>
    <w:link w:val="Style1Char"/>
    <w:uiPriority w:val="99"/>
    <w:rsid w:val="001A4E44"/>
    <w:pPr>
      <w:suppressAutoHyphens w:val="0"/>
      <w:spacing w:after="240" w:line="480" w:lineRule="auto"/>
    </w:pPr>
    <w:rPr>
      <w:rFonts w:eastAsia="Calibri"/>
      <w:sz w:val="32"/>
      <w:lang w:val="en-US"/>
    </w:rPr>
  </w:style>
  <w:style w:type="character" w:customStyle="1" w:styleId="Style1Char">
    <w:name w:val="Style1 Char"/>
    <w:link w:val="Style1"/>
    <w:uiPriority w:val="99"/>
    <w:locked/>
    <w:rsid w:val="001A4E44"/>
    <w:rPr>
      <w:rFonts w:eastAsia="Calibri"/>
      <w:sz w:val="32"/>
      <w:lang w:val="en-US" w:eastAsia="en-US"/>
    </w:rPr>
  </w:style>
  <w:style w:type="character" w:customStyle="1" w:styleId="caption1">
    <w:name w:val="caption1"/>
    <w:rsid w:val="001A4E44"/>
  </w:style>
  <w:style w:type="character" w:customStyle="1" w:styleId="SingleTxtGCar">
    <w:name w:val="_ Single Txt_G Car"/>
    <w:rsid w:val="001A4E44"/>
    <w:rPr>
      <w:lang w:val="es-ES" w:eastAsia="es-ES" w:bidi="ar-SA"/>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uiPriority w:val="99"/>
    <w:rsid w:val="001A4E44"/>
    <w:pPr>
      <w:suppressAutoHyphens w:val="0"/>
      <w:spacing w:after="160" w:line="240" w:lineRule="exact"/>
      <w:jc w:val="both"/>
    </w:pPr>
    <w:rPr>
      <w:rFonts w:ascii="Cambria" w:eastAsia="MS Mincho" w:hAnsi="Cambria"/>
      <w:sz w:val="24"/>
      <w:szCs w:val="24"/>
      <w:vertAlign w:val="superscript"/>
      <w:lang w:val="de-DE" w:eastAsia="ja-JP"/>
    </w:rPr>
  </w:style>
  <w:style w:type="paragraph" w:customStyle="1" w:styleId="Normal1">
    <w:name w:val="Normal1"/>
    <w:rsid w:val="001A4E44"/>
    <w:rPr>
      <w:rFonts w:ascii="Cambria" w:eastAsia="Cambria" w:hAnsi="Cambria" w:cs="Cambria"/>
      <w:color w:val="000000"/>
      <w:sz w:val="24"/>
      <w:szCs w:val="24"/>
      <w:lang w:val="en-US" w:eastAsia="en-US"/>
    </w:rPr>
  </w:style>
  <w:style w:type="paragraph" w:customStyle="1" w:styleId="ColorfulList-Accent11">
    <w:name w:val="Colorful List - Accent 11"/>
    <w:basedOn w:val="Normal"/>
    <w:uiPriority w:val="34"/>
    <w:qFormat/>
    <w:rsid w:val="001A4E44"/>
    <w:pPr>
      <w:suppressAutoHyphens w:val="0"/>
      <w:spacing w:line="240" w:lineRule="auto"/>
      <w:ind w:left="720"/>
      <w:contextualSpacing/>
    </w:pPr>
    <w:rPr>
      <w:rFonts w:asciiTheme="minorHAnsi" w:eastAsiaTheme="minorHAnsi" w:hAnsiTheme="minorHAnsi" w:cstheme="minorBidi"/>
      <w:color w:val="00000A"/>
      <w:sz w:val="24"/>
      <w:szCs w:val="24"/>
      <w:lang w:val="en-US"/>
    </w:rPr>
  </w:style>
  <w:style w:type="character" w:customStyle="1" w:styleId="selectable">
    <w:name w:val="selectable"/>
    <w:basedOn w:val="DefaultParagraphFont"/>
    <w:qFormat/>
    <w:rsid w:val="001A4E44"/>
  </w:style>
  <w:style w:type="paragraph" w:styleId="HTMLPreformatted">
    <w:name w:val="HTML Preformatted"/>
    <w:basedOn w:val="Normal"/>
    <w:link w:val="HTMLPreformattedChar"/>
    <w:uiPriority w:val="99"/>
    <w:semiHidden/>
    <w:unhideWhenUsed/>
    <w:qFormat/>
    <w:rsid w:val="001A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heme="minorHAnsi" w:hAnsi="Courier New" w:cs="Courier New"/>
      <w:color w:val="00000A"/>
      <w:lang w:val="en-US"/>
    </w:rPr>
  </w:style>
  <w:style w:type="character" w:customStyle="1" w:styleId="HTMLPreformattedChar">
    <w:name w:val="HTML Preformatted Char"/>
    <w:basedOn w:val="DefaultParagraphFont"/>
    <w:link w:val="HTMLPreformatted"/>
    <w:uiPriority w:val="99"/>
    <w:semiHidden/>
    <w:qFormat/>
    <w:rsid w:val="001A4E44"/>
    <w:rPr>
      <w:rFonts w:ascii="Courier New" w:eastAsiaTheme="minorHAnsi" w:hAnsi="Courier New" w:cs="Courier New"/>
      <w:color w:val="00000A"/>
      <w:lang w:val="en-US" w:eastAsia="en-US"/>
    </w:rPr>
  </w:style>
  <w:style w:type="character" w:customStyle="1" w:styleId="InternetLink">
    <w:name w:val="Internet Link"/>
    <w:basedOn w:val="DefaultParagraphFont"/>
    <w:uiPriority w:val="99"/>
    <w:unhideWhenUsed/>
    <w:rsid w:val="001A4E44"/>
    <w:rPr>
      <w:color w:val="0000FF" w:themeColor="hyperlink"/>
      <w:u w:val="single"/>
    </w:rPr>
  </w:style>
  <w:style w:type="character" w:customStyle="1" w:styleId="ListLabel1">
    <w:name w:val="ListLabel 1"/>
    <w:qFormat/>
    <w:rsid w:val="001A4E44"/>
    <w:rPr>
      <w:rFonts w:eastAsia="Calibri"/>
    </w:rPr>
  </w:style>
  <w:style w:type="character" w:customStyle="1" w:styleId="ListLabel2">
    <w:name w:val="ListLabel 2"/>
    <w:qFormat/>
    <w:rsid w:val="001A4E44"/>
    <w:rPr>
      <w:rFonts w:cs="Courier New"/>
    </w:rPr>
  </w:style>
  <w:style w:type="character" w:customStyle="1" w:styleId="ListLabel3">
    <w:name w:val="ListLabel 3"/>
    <w:qFormat/>
    <w:rsid w:val="001A4E44"/>
    <w:rPr>
      <w:rFonts w:cs="Courier New"/>
    </w:rPr>
  </w:style>
  <w:style w:type="character" w:customStyle="1" w:styleId="ListLabel4">
    <w:name w:val="ListLabel 4"/>
    <w:qFormat/>
    <w:rsid w:val="001A4E44"/>
    <w:rPr>
      <w:rFonts w:cs="Courier New"/>
    </w:rPr>
  </w:style>
  <w:style w:type="character" w:customStyle="1" w:styleId="ListLabel5">
    <w:name w:val="ListLabel 5"/>
    <w:qFormat/>
    <w:rsid w:val="001A4E44"/>
    <w:rPr>
      <w:b/>
    </w:rPr>
  </w:style>
  <w:style w:type="character" w:customStyle="1" w:styleId="ListLabel6">
    <w:name w:val="ListLabel 6"/>
    <w:qFormat/>
    <w:rsid w:val="001A4E44"/>
    <w:rPr>
      <w:rFonts w:eastAsia="Calibri"/>
    </w:rPr>
  </w:style>
  <w:style w:type="character" w:customStyle="1" w:styleId="ListLabel7">
    <w:name w:val="ListLabel 7"/>
    <w:qFormat/>
    <w:rsid w:val="001A4E44"/>
    <w:rPr>
      <w:rFonts w:cs="Courier New"/>
    </w:rPr>
  </w:style>
  <w:style w:type="character" w:customStyle="1" w:styleId="ListLabel8">
    <w:name w:val="ListLabel 8"/>
    <w:qFormat/>
    <w:rsid w:val="001A4E44"/>
    <w:rPr>
      <w:rFonts w:cs="Courier New"/>
    </w:rPr>
  </w:style>
  <w:style w:type="character" w:customStyle="1" w:styleId="ListLabel9">
    <w:name w:val="ListLabel 9"/>
    <w:qFormat/>
    <w:rsid w:val="001A4E44"/>
    <w:rPr>
      <w:rFonts w:cs="Courier New"/>
    </w:rPr>
  </w:style>
  <w:style w:type="character" w:customStyle="1" w:styleId="ListLabel10">
    <w:name w:val="ListLabel 10"/>
    <w:qFormat/>
    <w:rsid w:val="001A4E44"/>
    <w:rPr>
      <w:rFonts w:eastAsia="Calibri"/>
    </w:rPr>
  </w:style>
  <w:style w:type="character" w:customStyle="1" w:styleId="ListLabel11">
    <w:name w:val="ListLabel 11"/>
    <w:qFormat/>
    <w:rsid w:val="001A4E44"/>
    <w:rPr>
      <w:rFonts w:cs="Courier New"/>
    </w:rPr>
  </w:style>
  <w:style w:type="character" w:customStyle="1" w:styleId="ListLabel12">
    <w:name w:val="ListLabel 12"/>
    <w:qFormat/>
    <w:rsid w:val="001A4E44"/>
    <w:rPr>
      <w:rFonts w:cs="Courier New"/>
    </w:rPr>
  </w:style>
  <w:style w:type="character" w:customStyle="1" w:styleId="ListLabel13">
    <w:name w:val="ListLabel 13"/>
    <w:qFormat/>
    <w:rsid w:val="001A4E44"/>
    <w:rPr>
      <w:rFonts w:cs="Courier New"/>
    </w:rPr>
  </w:style>
  <w:style w:type="character" w:customStyle="1" w:styleId="ListLabel14">
    <w:name w:val="ListLabel 14"/>
    <w:qFormat/>
    <w:rsid w:val="001A4E44"/>
    <w:rPr>
      <w:rFonts w:eastAsia="Calibri"/>
    </w:rPr>
  </w:style>
  <w:style w:type="character" w:customStyle="1" w:styleId="ListLabel15">
    <w:name w:val="ListLabel 15"/>
    <w:qFormat/>
    <w:rsid w:val="001A4E44"/>
    <w:rPr>
      <w:rFonts w:cs="Courier New"/>
    </w:rPr>
  </w:style>
  <w:style w:type="character" w:customStyle="1" w:styleId="ListLabel16">
    <w:name w:val="ListLabel 16"/>
    <w:qFormat/>
    <w:rsid w:val="001A4E44"/>
    <w:rPr>
      <w:rFonts w:cs="Courier New"/>
    </w:rPr>
  </w:style>
  <w:style w:type="character" w:customStyle="1" w:styleId="ListLabel17">
    <w:name w:val="ListLabel 17"/>
    <w:qFormat/>
    <w:rsid w:val="001A4E44"/>
    <w:rPr>
      <w:rFonts w:cs="Courier New"/>
    </w:rPr>
  </w:style>
  <w:style w:type="character" w:customStyle="1" w:styleId="ListLabel18">
    <w:name w:val="ListLabel 18"/>
    <w:qFormat/>
    <w:rsid w:val="001A4E44"/>
    <w:rPr>
      <w:rFonts w:eastAsia="Calibri"/>
    </w:rPr>
  </w:style>
  <w:style w:type="character" w:customStyle="1" w:styleId="ListLabel19">
    <w:name w:val="ListLabel 19"/>
    <w:qFormat/>
    <w:rsid w:val="001A4E44"/>
    <w:rPr>
      <w:rFonts w:cs="Courier New"/>
    </w:rPr>
  </w:style>
  <w:style w:type="character" w:customStyle="1" w:styleId="ListLabel20">
    <w:name w:val="ListLabel 20"/>
    <w:qFormat/>
    <w:rsid w:val="001A4E44"/>
    <w:rPr>
      <w:rFonts w:cs="Courier New"/>
    </w:rPr>
  </w:style>
  <w:style w:type="character" w:customStyle="1" w:styleId="ListLabel21">
    <w:name w:val="ListLabel 21"/>
    <w:qFormat/>
    <w:rsid w:val="001A4E44"/>
    <w:rPr>
      <w:rFonts w:cs="Courier New"/>
    </w:rPr>
  </w:style>
  <w:style w:type="character" w:customStyle="1" w:styleId="ListLabel22">
    <w:name w:val="ListLabel 22"/>
    <w:qFormat/>
    <w:rsid w:val="001A4E44"/>
    <w:rPr>
      <w:rFonts w:eastAsia="Calibri"/>
    </w:rPr>
  </w:style>
  <w:style w:type="character" w:customStyle="1" w:styleId="ListLabel23">
    <w:name w:val="ListLabel 23"/>
    <w:qFormat/>
    <w:rsid w:val="001A4E44"/>
    <w:rPr>
      <w:rFonts w:cs="Courier New"/>
    </w:rPr>
  </w:style>
  <w:style w:type="character" w:customStyle="1" w:styleId="ListLabel24">
    <w:name w:val="ListLabel 24"/>
    <w:qFormat/>
    <w:rsid w:val="001A4E44"/>
    <w:rPr>
      <w:rFonts w:cs="Courier New"/>
    </w:rPr>
  </w:style>
  <w:style w:type="character" w:customStyle="1" w:styleId="ListLabel25">
    <w:name w:val="ListLabel 25"/>
    <w:qFormat/>
    <w:rsid w:val="001A4E44"/>
    <w:rPr>
      <w:rFonts w:cs="Courier New"/>
    </w:rPr>
  </w:style>
  <w:style w:type="character" w:customStyle="1" w:styleId="ListLabel26">
    <w:name w:val="ListLabel 26"/>
    <w:qFormat/>
    <w:rsid w:val="001A4E44"/>
    <w:rPr>
      <w:rFonts w:eastAsia="Calibri"/>
    </w:rPr>
  </w:style>
  <w:style w:type="character" w:customStyle="1" w:styleId="ListLabel27">
    <w:name w:val="ListLabel 27"/>
    <w:qFormat/>
    <w:rsid w:val="001A4E44"/>
    <w:rPr>
      <w:rFonts w:cs="Courier New"/>
    </w:rPr>
  </w:style>
  <w:style w:type="character" w:customStyle="1" w:styleId="ListLabel28">
    <w:name w:val="ListLabel 28"/>
    <w:qFormat/>
    <w:rsid w:val="001A4E44"/>
    <w:rPr>
      <w:rFonts w:cs="Courier New"/>
    </w:rPr>
  </w:style>
  <w:style w:type="character" w:customStyle="1" w:styleId="ListLabel29">
    <w:name w:val="ListLabel 29"/>
    <w:qFormat/>
    <w:rsid w:val="001A4E44"/>
    <w:rPr>
      <w:rFonts w:cs="Courier New"/>
    </w:rPr>
  </w:style>
  <w:style w:type="character" w:customStyle="1" w:styleId="ListLabel30">
    <w:name w:val="ListLabel 30"/>
    <w:qFormat/>
    <w:rsid w:val="001A4E44"/>
    <w:rPr>
      <w:rFonts w:eastAsia="Calibri"/>
    </w:rPr>
  </w:style>
  <w:style w:type="character" w:customStyle="1" w:styleId="ListLabel31">
    <w:name w:val="ListLabel 31"/>
    <w:qFormat/>
    <w:rsid w:val="001A4E44"/>
    <w:rPr>
      <w:rFonts w:cs="Courier New"/>
    </w:rPr>
  </w:style>
  <w:style w:type="character" w:customStyle="1" w:styleId="ListLabel32">
    <w:name w:val="ListLabel 32"/>
    <w:qFormat/>
    <w:rsid w:val="001A4E44"/>
    <w:rPr>
      <w:rFonts w:cs="Courier New"/>
    </w:rPr>
  </w:style>
  <w:style w:type="character" w:customStyle="1" w:styleId="ListLabel33">
    <w:name w:val="ListLabel 33"/>
    <w:qFormat/>
    <w:rsid w:val="001A4E44"/>
    <w:rPr>
      <w:rFonts w:cs="Courier New"/>
    </w:rPr>
  </w:style>
  <w:style w:type="character" w:customStyle="1" w:styleId="ListLabel34">
    <w:name w:val="ListLabel 34"/>
    <w:qFormat/>
    <w:rsid w:val="001A4E44"/>
    <w:rPr>
      <w:rFonts w:eastAsia="Calibri"/>
      <w:u w:val="none"/>
    </w:rPr>
  </w:style>
  <w:style w:type="character" w:customStyle="1" w:styleId="ListLabel35">
    <w:name w:val="ListLabel 35"/>
    <w:qFormat/>
    <w:rsid w:val="001A4E44"/>
    <w:rPr>
      <w:rFonts w:cs="Courier New"/>
    </w:rPr>
  </w:style>
  <w:style w:type="character" w:customStyle="1" w:styleId="ListLabel36">
    <w:name w:val="ListLabel 36"/>
    <w:qFormat/>
    <w:rsid w:val="001A4E44"/>
    <w:rPr>
      <w:rFonts w:cs="Courier New"/>
    </w:rPr>
  </w:style>
  <w:style w:type="character" w:customStyle="1" w:styleId="ListLabel37">
    <w:name w:val="ListLabel 37"/>
    <w:qFormat/>
    <w:rsid w:val="001A4E44"/>
    <w:rPr>
      <w:rFonts w:cs="Courier New"/>
    </w:rPr>
  </w:style>
  <w:style w:type="character" w:customStyle="1" w:styleId="ListLabel38">
    <w:name w:val="ListLabel 38"/>
    <w:qFormat/>
    <w:rsid w:val="001A4E44"/>
    <w:rPr>
      <w:rFonts w:eastAsia="Calibri"/>
    </w:rPr>
  </w:style>
  <w:style w:type="character" w:customStyle="1" w:styleId="ListLabel39">
    <w:name w:val="ListLabel 39"/>
    <w:qFormat/>
    <w:rsid w:val="001A4E44"/>
    <w:rPr>
      <w:rFonts w:cs="Courier New"/>
    </w:rPr>
  </w:style>
  <w:style w:type="character" w:customStyle="1" w:styleId="ListLabel40">
    <w:name w:val="ListLabel 40"/>
    <w:qFormat/>
    <w:rsid w:val="001A4E44"/>
    <w:rPr>
      <w:rFonts w:cs="Courier New"/>
    </w:rPr>
  </w:style>
  <w:style w:type="character" w:customStyle="1" w:styleId="ListLabel41">
    <w:name w:val="ListLabel 41"/>
    <w:qFormat/>
    <w:rsid w:val="001A4E44"/>
    <w:rPr>
      <w:rFonts w:cs="Courier New"/>
    </w:rPr>
  </w:style>
  <w:style w:type="character" w:customStyle="1" w:styleId="ListLabel42">
    <w:name w:val="ListLabel 42"/>
    <w:qFormat/>
    <w:rsid w:val="001A4E44"/>
    <w:rPr>
      <w:rFonts w:eastAsia="Calibri"/>
    </w:rPr>
  </w:style>
  <w:style w:type="character" w:customStyle="1" w:styleId="ListLabel43">
    <w:name w:val="ListLabel 43"/>
    <w:qFormat/>
    <w:rsid w:val="001A4E44"/>
    <w:rPr>
      <w:rFonts w:cs="Courier New"/>
    </w:rPr>
  </w:style>
  <w:style w:type="character" w:customStyle="1" w:styleId="ListLabel44">
    <w:name w:val="ListLabel 44"/>
    <w:qFormat/>
    <w:rsid w:val="001A4E44"/>
    <w:rPr>
      <w:rFonts w:cs="Courier New"/>
    </w:rPr>
  </w:style>
  <w:style w:type="character" w:customStyle="1" w:styleId="ListLabel45">
    <w:name w:val="ListLabel 45"/>
    <w:qFormat/>
    <w:rsid w:val="001A4E44"/>
    <w:rPr>
      <w:rFonts w:cs="Courier New"/>
    </w:rPr>
  </w:style>
  <w:style w:type="character" w:customStyle="1" w:styleId="ListLabel46">
    <w:name w:val="ListLabel 46"/>
    <w:qFormat/>
    <w:rsid w:val="001A4E44"/>
    <w:rPr>
      <w:rFonts w:eastAsia="Calibri"/>
    </w:rPr>
  </w:style>
  <w:style w:type="character" w:customStyle="1" w:styleId="ListLabel47">
    <w:name w:val="ListLabel 47"/>
    <w:qFormat/>
    <w:rsid w:val="001A4E44"/>
    <w:rPr>
      <w:rFonts w:cs="Courier New"/>
    </w:rPr>
  </w:style>
  <w:style w:type="character" w:customStyle="1" w:styleId="ListLabel48">
    <w:name w:val="ListLabel 48"/>
    <w:qFormat/>
    <w:rsid w:val="001A4E44"/>
    <w:rPr>
      <w:rFonts w:cs="Courier New"/>
    </w:rPr>
  </w:style>
  <w:style w:type="character" w:customStyle="1" w:styleId="ListLabel49">
    <w:name w:val="ListLabel 49"/>
    <w:qFormat/>
    <w:rsid w:val="001A4E44"/>
    <w:rPr>
      <w:rFonts w:cs="Courier New"/>
    </w:rPr>
  </w:style>
  <w:style w:type="character" w:customStyle="1" w:styleId="ListLabel50">
    <w:name w:val="ListLabel 50"/>
    <w:qFormat/>
    <w:rsid w:val="001A4E44"/>
    <w:rPr>
      <w:rFonts w:eastAsia="Calibri"/>
    </w:rPr>
  </w:style>
  <w:style w:type="character" w:customStyle="1" w:styleId="ListLabel51">
    <w:name w:val="ListLabel 51"/>
    <w:qFormat/>
    <w:rsid w:val="001A4E44"/>
    <w:rPr>
      <w:rFonts w:cs="Courier New"/>
    </w:rPr>
  </w:style>
  <w:style w:type="character" w:customStyle="1" w:styleId="ListLabel52">
    <w:name w:val="ListLabel 52"/>
    <w:qFormat/>
    <w:rsid w:val="001A4E44"/>
    <w:rPr>
      <w:rFonts w:cs="Courier New"/>
    </w:rPr>
  </w:style>
  <w:style w:type="character" w:customStyle="1" w:styleId="ListLabel53">
    <w:name w:val="ListLabel 53"/>
    <w:qFormat/>
    <w:rsid w:val="001A4E44"/>
    <w:rPr>
      <w:rFonts w:cs="Courier New"/>
    </w:rPr>
  </w:style>
  <w:style w:type="character" w:customStyle="1" w:styleId="ListLabel54">
    <w:name w:val="ListLabel 54"/>
    <w:qFormat/>
    <w:rsid w:val="001A4E44"/>
    <w:rPr>
      <w:rFonts w:cs="Courier New"/>
    </w:rPr>
  </w:style>
  <w:style w:type="character" w:customStyle="1" w:styleId="ListLabel55">
    <w:name w:val="ListLabel 55"/>
    <w:qFormat/>
    <w:rsid w:val="001A4E44"/>
    <w:rPr>
      <w:rFonts w:cs="Courier New"/>
    </w:rPr>
  </w:style>
  <w:style w:type="character" w:customStyle="1" w:styleId="ListLabel56">
    <w:name w:val="ListLabel 56"/>
    <w:qFormat/>
    <w:rsid w:val="001A4E44"/>
    <w:rPr>
      <w:rFonts w:cs="Courier New"/>
    </w:rPr>
  </w:style>
  <w:style w:type="character" w:customStyle="1" w:styleId="ListLabel57">
    <w:name w:val="ListLabel 57"/>
    <w:qFormat/>
    <w:rsid w:val="001A4E44"/>
    <w:rPr>
      <w:rFonts w:cs="Courier New"/>
    </w:rPr>
  </w:style>
  <w:style w:type="character" w:customStyle="1" w:styleId="ListLabel58">
    <w:name w:val="ListLabel 58"/>
    <w:qFormat/>
    <w:rsid w:val="001A4E44"/>
    <w:rPr>
      <w:rFonts w:cs="Courier New"/>
    </w:rPr>
  </w:style>
  <w:style w:type="character" w:customStyle="1" w:styleId="ListLabel59">
    <w:name w:val="ListLabel 59"/>
    <w:qFormat/>
    <w:rsid w:val="001A4E44"/>
    <w:rPr>
      <w:rFonts w:cs="Courier New"/>
    </w:rPr>
  </w:style>
  <w:style w:type="character" w:customStyle="1" w:styleId="FootnoteCharacters">
    <w:name w:val="Footnote Characters"/>
    <w:qFormat/>
    <w:rsid w:val="001A4E44"/>
  </w:style>
  <w:style w:type="character" w:customStyle="1" w:styleId="FootnoteAnchor">
    <w:name w:val="Footnote Anchor"/>
    <w:rsid w:val="001A4E44"/>
    <w:rPr>
      <w:vertAlign w:val="superscript"/>
    </w:rPr>
  </w:style>
  <w:style w:type="character" w:customStyle="1" w:styleId="EndnoteAnchor">
    <w:name w:val="Endnote Anchor"/>
    <w:rsid w:val="001A4E44"/>
    <w:rPr>
      <w:vertAlign w:val="superscript"/>
    </w:rPr>
  </w:style>
  <w:style w:type="character" w:customStyle="1" w:styleId="EndnoteCharacters">
    <w:name w:val="Endnote Characters"/>
    <w:qFormat/>
    <w:rsid w:val="001A4E44"/>
  </w:style>
  <w:style w:type="character" w:customStyle="1" w:styleId="ListLabel60">
    <w:name w:val="ListLabel 60"/>
    <w:qFormat/>
    <w:rsid w:val="001A4E44"/>
    <w:rPr>
      <w:b/>
    </w:rPr>
  </w:style>
  <w:style w:type="paragraph" w:customStyle="1" w:styleId="Heading">
    <w:name w:val="Heading"/>
    <w:basedOn w:val="Normal"/>
    <w:next w:val="BodyText"/>
    <w:qFormat/>
    <w:rsid w:val="001A4E44"/>
    <w:pPr>
      <w:keepNext/>
      <w:suppressAutoHyphens w:val="0"/>
      <w:spacing w:before="240" w:after="120" w:line="240" w:lineRule="auto"/>
    </w:pPr>
    <w:rPr>
      <w:rFonts w:ascii="Liberation Sans" w:eastAsia="DejaVu Sans" w:hAnsi="Liberation Sans" w:cs="FreeSans"/>
      <w:color w:val="00000A"/>
      <w:sz w:val="28"/>
      <w:szCs w:val="28"/>
      <w:lang w:val="en-US"/>
    </w:rPr>
  </w:style>
  <w:style w:type="paragraph" w:styleId="List">
    <w:name w:val="List"/>
    <w:basedOn w:val="BodyText"/>
    <w:rsid w:val="001A4E44"/>
    <w:pPr>
      <w:spacing w:after="140" w:line="288" w:lineRule="auto"/>
    </w:pPr>
    <w:rPr>
      <w:rFonts w:asciiTheme="minorHAnsi" w:eastAsiaTheme="minorHAnsi" w:hAnsiTheme="minorHAnsi" w:cs="FreeSans"/>
      <w:color w:val="00000A"/>
      <w:lang w:val="en-US"/>
    </w:rPr>
  </w:style>
  <w:style w:type="paragraph" w:styleId="Caption">
    <w:name w:val="caption"/>
    <w:basedOn w:val="Normal"/>
    <w:qFormat/>
    <w:rsid w:val="001A4E44"/>
    <w:pPr>
      <w:suppressLineNumbers/>
      <w:suppressAutoHyphens w:val="0"/>
      <w:spacing w:before="120" w:after="120" w:line="240" w:lineRule="auto"/>
    </w:pPr>
    <w:rPr>
      <w:rFonts w:asciiTheme="minorHAnsi" w:eastAsiaTheme="minorHAnsi" w:hAnsiTheme="minorHAnsi" w:cs="FreeSans"/>
      <w:i/>
      <w:iCs/>
      <w:color w:val="00000A"/>
      <w:sz w:val="24"/>
      <w:szCs w:val="24"/>
      <w:lang w:val="en-US"/>
    </w:rPr>
  </w:style>
  <w:style w:type="paragraph" w:customStyle="1" w:styleId="Index">
    <w:name w:val="Index"/>
    <w:basedOn w:val="Normal"/>
    <w:qFormat/>
    <w:rsid w:val="001A4E44"/>
    <w:pPr>
      <w:suppressLineNumbers/>
      <w:suppressAutoHyphens w:val="0"/>
      <w:spacing w:line="240" w:lineRule="auto"/>
    </w:pPr>
    <w:rPr>
      <w:rFonts w:asciiTheme="minorHAnsi" w:eastAsiaTheme="minorHAnsi" w:hAnsiTheme="minorHAnsi" w:cs="FreeSans"/>
      <w:color w:val="00000A"/>
      <w:sz w:val="24"/>
      <w:szCs w:val="24"/>
      <w:lang w:val="en-US"/>
    </w:rPr>
  </w:style>
  <w:style w:type="paragraph" w:customStyle="1" w:styleId="FrameContents">
    <w:name w:val="Frame Contents"/>
    <w:basedOn w:val="Normal"/>
    <w:qFormat/>
    <w:rsid w:val="001A4E44"/>
    <w:pPr>
      <w:suppressAutoHyphens w:val="0"/>
      <w:spacing w:line="240" w:lineRule="auto"/>
    </w:pPr>
    <w:rPr>
      <w:rFonts w:asciiTheme="minorHAnsi" w:eastAsiaTheme="minorHAnsi" w:hAnsiTheme="minorHAnsi" w:cstheme="minorBidi"/>
      <w:color w:val="00000A"/>
      <w:sz w:val="24"/>
      <w:szCs w:val="24"/>
      <w:lang w:val="en-US"/>
    </w:rPr>
  </w:style>
  <w:style w:type="character" w:customStyle="1" w:styleId="Hyperlink0">
    <w:name w:val="Hyperlink.0"/>
    <w:rsid w:val="001A4E44"/>
    <w:rPr>
      <w:color w:val="000000"/>
      <w:u w:val="none" w:color="000000"/>
    </w:rPr>
  </w:style>
  <w:style w:type="numbering" w:customStyle="1" w:styleId="List0">
    <w:name w:val="List 0"/>
    <w:basedOn w:val="NoList"/>
    <w:rsid w:val="001A4E44"/>
    <w:pPr>
      <w:numPr>
        <w:numId w:val="23"/>
      </w:numPr>
    </w:pPr>
  </w:style>
  <w:style w:type="character" w:customStyle="1" w:styleId="Hyperlink4">
    <w:name w:val="Hyperlink.4"/>
    <w:rsid w:val="001A4E44"/>
    <w:rPr>
      <w:sz w:val="18"/>
      <w:szCs w:val="18"/>
    </w:rPr>
  </w:style>
  <w:style w:type="character" w:customStyle="1" w:styleId="Hyperlink5">
    <w:name w:val="Hyperlink.5"/>
    <w:basedOn w:val="DefaultParagraphFont"/>
    <w:rsid w:val="001A4E44"/>
  </w:style>
  <w:style w:type="character" w:customStyle="1" w:styleId="Subtitle1">
    <w:name w:val="Subtitle1"/>
    <w:basedOn w:val="DefaultParagraphFont"/>
    <w:rsid w:val="001A4E44"/>
  </w:style>
  <w:style w:type="paragraph" w:customStyle="1" w:styleId="css-1i0edl6">
    <w:name w:val="css-1i0edl6"/>
    <w:basedOn w:val="Normal"/>
    <w:rsid w:val="001A4E44"/>
    <w:pPr>
      <w:suppressAutoHyphens w:val="0"/>
      <w:spacing w:before="100" w:beforeAutospacing="1" w:after="100" w:afterAutospacing="1" w:line="240" w:lineRule="auto"/>
    </w:pPr>
    <w:rPr>
      <w:sz w:val="24"/>
      <w:szCs w:val="24"/>
    </w:rPr>
  </w:style>
  <w:style w:type="character" w:customStyle="1" w:styleId="a-size-large">
    <w:name w:val="a-size-large"/>
    <w:basedOn w:val="DefaultParagraphFont"/>
    <w:rsid w:val="001A4E44"/>
  </w:style>
  <w:style w:type="character" w:customStyle="1" w:styleId="UnresolvedMention2">
    <w:name w:val="Unresolved Mention2"/>
    <w:basedOn w:val="DefaultParagraphFont"/>
    <w:uiPriority w:val="99"/>
    <w:unhideWhenUsed/>
    <w:rsid w:val="001A4E44"/>
    <w:rPr>
      <w:color w:val="605E5C"/>
      <w:shd w:val="clear" w:color="auto" w:fill="E1DFDD"/>
    </w:rPr>
  </w:style>
  <w:style w:type="character" w:customStyle="1" w:styleId="sb8d990e2">
    <w:name w:val="sb8d990e2"/>
    <w:basedOn w:val="DefaultParagraphFont"/>
    <w:rsid w:val="001A4E44"/>
  </w:style>
  <w:style w:type="character" w:customStyle="1" w:styleId="UnresolvedMention3">
    <w:name w:val="Unresolved Mention3"/>
    <w:basedOn w:val="DefaultParagraphFont"/>
    <w:uiPriority w:val="99"/>
    <w:semiHidden/>
    <w:unhideWhenUsed/>
    <w:rsid w:val="001A4E44"/>
    <w:rPr>
      <w:color w:val="605E5C"/>
      <w:shd w:val="clear" w:color="auto" w:fill="E1DFDD"/>
    </w:rPr>
  </w:style>
  <w:style w:type="character" w:customStyle="1" w:styleId="UnresolvedMention4">
    <w:name w:val="Unresolved Mention4"/>
    <w:basedOn w:val="DefaultParagraphFont"/>
    <w:uiPriority w:val="99"/>
    <w:semiHidden/>
    <w:unhideWhenUsed/>
    <w:rsid w:val="00F33F5E"/>
    <w:rPr>
      <w:color w:val="605E5C"/>
      <w:shd w:val="clear" w:color="auto" w:fill="E1DFDD"/>
    </w:rPr>
  </w:style>
  <w:style w:type="character" w:customStyle="1" w:styleId="UnresolvedMention">
    <w:name w:val="Unresolved Mention"/>
    <w:basedOn w:val="DefaultParagraphFont"/>
    <w:uiPriority w:val="99"/>
    <w:semiHidden/>
    <w:unhideWhenUsed/>
    <w:rsid w:val="00B6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2406">
      <w:bodyDiv w:val="1"/>
      <w:marLeft w:val="0"/>
      <w:marRight w:val="0"/>
      <w:marTop w:val="0"/>
      <w:marBottom w:val="0"/>
      <w:divBdr>
        <w:top w:val="none" w:sz="0" w:space="0" w:color="auto"/>
        <w:left w:val="none" w:sz="0" w:space="0" w:color="auto"/>
        <w:bottom w:val="none" w:sz="0" w:space="0" w:color="auto"/>
        <w:right w:val="none" w:sz="0" w:space="0" w:color="auto"/>
      </w:divBdr>
    </w:div>
    <w:div w:id="45221262">
      <w:bodyDiv w:val="1"/>
      <w:marLeft w:val="0"/>
      <w:marRight w:val="0"/>
      <w:marTop w:val="0"/>
      <w:marBottom w:val="0"/>
      <w:divBdr>
        <w:top w:val="none" w:sz="0" w:space="0" w:color="auto"/>
        <w:left w:val="none" w:sz="0" w:space="0" w:color="auto"/>
        <w:bottom w:val="none" w:sz="0" w:space="0" w:color="auto"/>
        <w:right w:val="none" w:sz="0" w:space="0" w:color="auto"/>
      </w:divBdr>
      <w:divsChild>
        <w:div w:id="787049243">
          <w:marLeft w:val="0"/>
          <w:marRight w:val="0"/>
          <w:marTop w:val="0"/>
          <w:marBottom w:val="0"/>
          <w:divBdr>
            <w:top w:val="none" w:sz="0" w:space="0" w:color="auto"/>
            <w:left w:val="none" w:sz="0" w:space="0" w:color="auto"/>
            <w:bottom w:val="none" w:sz="0" w:space="0" w:color="auto"/>
            <w:right w:val="none" w:sz="0" w:space="0" w:color="auto"/>
          </w:divBdr>
          <w:divsChild>
            <w:div w:id="1166701567">
              <w:marLeft w:val="-225"/>
              <w:marRight w:val="-225"/>
              <w:marTop w:val="0"/>
              <w:marBottom w:val="0"/>
              <w:divBdr>
                <w:top w:val="none" w:sz="0" w:space="0" w:color="auto"/>
                <w:left w:val="none" w:sz="0" w:space="0" w:color="auto"/>
                <w:bottom w:val="none" w:sz="0" w:space="0" w:color="auto"/>
                <w:right w:val="none" w:sz="0" w:space="0" w:color="auto"/>
              </w:divBdr>
              <w:divsChild>
                <w:div w:id="1778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3256">
      <w:bodyDiv w:val="1"/>
      <w:marLeft w:val="0"/>
      <w:marRight w:val="0"/>
      <w:marTop w:val="0"/>
      <w:marBottom w:val="0"/>
      <w:divBdr>
        <w:top w:val="none" w:sz="0" w:space="0" w:color="auto"/>
        <w:left w:val="none" w:sz="0" w:space="0" w:color="auto"/>
        <w:bottom w:val="none" w:sz="0" w:space="0" w:color="auto"/>
        <w:right w:val="none" w:sz="0" w:space="0" w:color="auto"/>
      </w:divBdr>
      <w:divsChild>
        <w:div w:id="318117656">
          <w:marLeft w:val="0"/>
          <w:marRight w:val="0"/>
          <w:marTop w:val="0"/>
          <w:marBottom w:val="0"/>
          <w:divBdr>
            <w:top w:val="none" w:sz="0" w:space="0" w:color="auto"/>
            <w:left w:val="none" w:sz="0" w:space="0" w:color="auto"/>
            <w:bottom w:val="none" w:sz="0" w:space="0" w:color="auto"/>
            <w:right w:val="none" w:sz="0" w:space="0" w:color="auto"/>
          </w:divBdr>
          <w:divsChild>
            <w:div w:id="1214081118">
              <w:marLeft w:val="-225"/>
              <w:marRight w:val="-225"/>
              <w:marTop w:val="0"/>
              <w:marBottom w:val="0"/>
              <w:divBdr>
                <w:top w:val="none" w:sz="0" w:space="0" w:color="auto"/>
                <w:left w:val="none" w:sz="0" w:space="0" w:color="auto"/>
                <w:bottom w:val="none" w:sz="0" w:space="0" w:color="auto"/>
                <w:right w:val="none" w:sz="0" w:space="0" w:color="auto"/>
              </w:divBdr>
              <w:divsChild>
                <w:div w:id="14661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3011">
      <w:bodyDiv w:val="1"/>
      <w:marLeft w:val="0"/>
      <w:marRight w:val="0"/>
      <w:marTop w:val="0"/>
      <w:marBottom w:val="0"/>
      <w:divBdr>
        <w:top w:val="none" w:sz="0" w:space="0" w:color="auto"/>
        <w:left w:val="none" w:sz="0" w:space="0" w:color="auto"/>
        <w:bottom w:val="none" w:sz="0" w:space="0" w:color="auto"/>
        <w:right w:val="none" w:sz="0" w:space="0" w:color="auto"/>
      </w:divBdr>
    </w:div>
    <w:div w:id="531454914">
      <w:bodyDiv w:val="1"/>
      <w:marLeft w:val="0"/>
      <w:marRight w:val="0"/>
      <w:marTop w:val="0"/>
      <w:marBottom w:val="0"/>
      <w:divBdr>
        <w:top w:val="none" w:sz="0" w:space="0" w:color="auto"/>
        <w:left w:val="none" w:sz="0" w:space="0" w:color="auto"/>
        <w:bottom w:val="none" w:sz="0" w:space="0" w:color="auto"/>
        <w:right w:val="none" w:sz="0" w:space="0" w:color="auto"/>
      </w:divBdr>
    </w:div>
    <w:div w:id="693507521">
      <w:bodyDiv w:val="1"/>
      <w:marLeft w:val="0"/>
      <w:marRight w:val="0"/>
      <w:marTop w:val="0"/>
      <w:marBottom w:val="0"/>
      <w:divBdr>
        <w:top w:val="none" w:sz="0" w:space="0" w:color="auto"/>
        <w:left w:val="none" w:sz="0" w:space="0" w:color="auto"/>
        <w:bottom w:val="none" w:sz="0" w:space="0" w:color="auto"/>
        <w:right w:val="none" w:sz="0" w:space="0" w:color="auto"/>
      </w:divBdr>
    </w:div>
    <w:div w:id="912544030">
      <w:bodyDiv w:val="1"/>
      <w:marLeft w:val="0"/>
      <w:marRight w:val="0"/>
      <w:marTop w:val="0"/>
      <w:marBottom w:val="0"/>
      <w:divBdr>
        <w:top w:val="none" w:sz="0" w:space="0" w:color="auto"/>
        <w:left w:val="none" w:sz="0" w:space="0" w:color="auto"/>
        <w:bottom w:val="none" w:sz="0" w:space="0" w:color="auto"/>
        <w:right w:val="none" w:sz="0" w:space="0" w:color="auto"/>
      </w:divBdr>
    </w:div>
    <w:div w:id="979504206">
      <w:bodyDiv w:val="1"/>
      <w:marLeft w:val="0"/>
      <w:marRight w:val="0"/>
      <w:marTop w:val="0"/>
      <w:marBottom w:val="0"/>
      <w:divBdr>
        <w:top w:val="none" w:sz="0" w:space="0" w:color="auto"/>
        <w:left w:val="none" w:sz="0" w:space="0" w:color="auto"/>
        <w:bottom w:val="none" w:sz="0" w:space="0" w:color="auto"/>
        <w:right w:val="none" w:sz="0" w:space="0" w:color="auto"/>
      </w:divBdr>
      <w:divsChild>
        <w:div w:id="909576584">
          <w:marLeft w:val="0"/>
          <w:marRight w:val="0"/>
          <w:marTop w:val="0"/>
          <w:marBottom w:val="0"/>
          <w:divBdr>
            <w:top w:val="none" w:sz="0" w:space="0" w:color="auto"/>
            <w:left w:val="none" w:sz="0" w:space="0" w:color="auto"/>
            <w:bottom w:val="none" w:sz="0" w:space="0" w:color="auto"/>
            <w:right w:val="none" w:sz="0" w:space="0" w:color="auto"/>
          </w:divBdr>
          <w:divsChild>
            <w:div w:id="72051488">
              <w:marLeft w:val="300"/>
              <w:marRight w:val="150"/>
              <w:marTop w:val="0"/>
              <w:marBottom w:val="0"/>
              <w:divBdr>
                <w:top w:val="none" w:sz="0" w:space="0" w:color="auto"/>
                <w:left w:val="none" w:sz="0" w:space="0" w:color="auto"/>
                <w:bottom w:val="none" w:sz="0" w:space="0" w:color="auto"/>
                <w:right w:val="none" w:sz="0" w:space="0" w:color="auto"/>
              </w:divBdr>
              <w:divsChild>
                <w:div w:id="9556031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24331489">
      <w:bodyDiv w:val="1"/>
      <w:marLeft w:val="0"/>
      <w:marRight w:val="0"/>
      <w:marTop w:val="0"/>
      <w:marBottom w:val="0"/>
      <w:divBdr>
        <w:top w:val="none" w:sz="0" w:space="0" w:color="auto"/>
        <w:left w:val="none" w:sz="0" w:space="0" w:color="auto"/>
        <w:bottom w:val="none" w:sz="0" w:space="0" w:color="auto"/>
        <w:right w:val="none" w:sz="0" w:space="0" w:color="auto"/>
      </w:divBdr>
    </w:div>
    <w:div w:id="1056200802">
      <w:bodyDiv w:val="1"/>
      <w:marLeft w:val="0"/>
      <w:marRight w:val="0"/>
      <w:marTop w:val="0"/>
      <w:marBottom w:val="0"/>
      <w:divBdr>
        <w:top w:val="none" w:sz="0" w:space="0" w:color="auto"/>
        <w:left w:val="none" w:sz="0" w:space="0" w:color="auto"/>
        <w:bottom w:val="none" w:sz="0" w:space="0" w:color="auto"/>
        <w:right w:val="none" w:sz="0" w:space="0" w:color="auto"/>
      </w:divBdr>
    </w:div>
    <w:div w:id="1093666801">
      <w:bodyDiv w:val="1"/>
      <w:marLeft w:val="0"/>
      <w:marRight w:val="0"/>
      <w:marTop w:val="0"/>
      <w:marBottom w:val="0"/>
      <w:divBdr>
        <w:top w:val="none" w:sz="0" w:space="0" w:color="auto"/>
        <w:left w:val="none" w:sz="0" w:space="0" w:color="auto"/>
        <w:bottom w:val="none" w:sz="0" w:space="0" w:color="auto"/>
        <w:right w:val="none" w:sz="0" w:space="0" w:color="auto"/>
      </w:divBdr>
    </w:div>
    <w:div w:id="1139298764">
      <w:bodyDiv w:val="1"/>
      <w:marLeft w:val="0"/>
      <w:marRight w:val="0"/>
      <w:marTop w:val="0"/>
      <w:marBottom w:val="0"/>
      <w:divBdr>
        <w:top w:val="none" w:sz="0" w:space="0" w:color="auto"/>
        <w:left w:val="none" w:sz="0" w:space="0" w:color="auto"/>
        <w:bottom w:val="none" w:sz="0" w:space="0" w:color="auto"/>
        <w:right w:val="none" w:sz="0" w:space="0" w:color="auto"/>
      </w:divBdr>
      <w:divsChild>
        <w:div w:id="839195438">
          <w:marLeft w:val="0"/>
          <w:marRight w:val="0"/>
          <w:marTop w:val="0"/>
          <w:marBottom w:val="0"/>
          <w:divBdr>
            <w:top w:val="none" w:sz="0" w:space="0" w:color="auto"/>
            <w:left w:val="none" w:sz="0" w:space="0" w:color="auto"/>
            <w:bottom w:val="none" w:sz="0" w:space="0" w:color="auto"/>
            <w:right w:val="none" w:sz="0" w:space="0" w:color="auto"/>
          </w:divBdr>
          <w:divsChild>
            <w:div w:id="1049918067">
              <w:marLeft w:val="0"/>
              <w:marRight w:val="0"/>
              <w:marTop w:val="0"/>
              <w:marBottom w:val="0"/>
              <w:divBdr>
                <w:top w:val="none" w:sz="0" w:space="0" w:color="auto"/>
                <w:left w:val="none" w:sz="0" w:space="0" w:color="auto"/>
                <w:bottom w:val="none" w:sz="0" w:space="0" w:color="auto"/>
                <w:right w:val="none" w:sz="0" w:space="0" w:color="auto"/>
              </w:divBdr>
              <w:divsChild>
                <w:div w:id="1142966065">
                  <w:marLeft w:val="0"/>
                  <w:marRight w:val="0"/>
                  <w:marTop w:val="0"/>
                  <w:marBottom w:val="0"/>
                  <w:divBdr>
                    <w:top w:val="none" w:sz="0" w:space="0" w:color="auto"/>
                    <w:left w:val="none" w:sz="0" w:space="0" w:color="auto"/>
                    <w:bottom w:val="none" w:sz="0" w:space="0" w:color="auto"/>
                    <w:right w:val="none" w:sz="0" w:space="0" w:color="auto"/>
                  </w:divBdr>
                  <w:divsChild>
                    <w:div w:id="1316302930">
                      <w:marLeft w:val="0"/>
                      <w:marRight w:val="0"/>
                      <w:marTop w:val="0"/>
                      <w:marBottom w:val="0"/>
                      <w:divBdr>
                        <w:top w:val="none" w:sz="0" w:space="0" w:color="auto"/>
                        <w:left w:val="none" w:sz="0" w:space="0" w:color="auto"/>
                        <w:bottom w:val="none" w:sz="0" w:space="0" w:color="auto"/>
                        <w:right w:val="none" w:sz="0" w:space="0" w:color="auto"/>
                      </w:divBdr>
                      <w:divsChild>
                        <w:div w:id="1265265043">
                          <w:marLeft w:val="0"/>
                          <w:marRight w:val="0"/>
                          <w:marTop w:val="0"/>
                          <w:marBottom w:val="0"/>
                          <w:divBdr>
                            <w:top w:val="none" w:sz="0" w:space="0" w:color="auto"/>
                            <w:left w:val="none" w:sz="0" w:space="0" w:color="auto"/>
                            <w:bottom w:val="none" w:sz="0" w:space="0" w:color="auto"/>
                            <w:right w:val="none" w:sz="0" w:space="0" w:color="auto"/>
                          </w:divBdr>
                          <w:divsChild>
                            <w:div w:id="1133788113">
                              <w:marLeft w:val="0"/>
                              <w:marRight w:val="0"/>
                              <w:marTop w:val="0"/>
                              <w:marBottom w:val="0"/>
                              <w:divBdr>
                                <w:top w:val="none" w:sz="0" w:space="0" w:color="auto"/>
                                <w:left w:val="none" w:sz="0" w:space="0" w:color="auto"/>
                                <w:bottom w:val="none" w:sz="0" w:space="0" w:color="auto"/>
                                <w:right w:val="none" w:sz="0" w:space="0" w:color="auto"/>
                              </w:divBdr>
                              <w:divsChild>
                                <w:div w:id="182978262">
                                  <w:marLeft w:val="0"/>
                                  <w:marRight w:val="0"/>
                                  <w:marTop w:val="0"/>
                                  <w:marBottom w:val="0"/>
                                  <w:divBdr>
                                    <w:top w:val="none" w:sz="0" w:space="0" w:color="auto"/>
                                    <w:left w:val="none" w:sz="0" w:space="0" w:color="auto"/>
                                    <w:bottom w:val="none" w:sz="0" w:space="0" w:color="auto"/>
                                    <w:right w:val="none" w:sz="0" w:space="0" w:color="auto"/>
                                  </w:divBdr>
                                  <w:divsChild>
                                    <w:div w:id="794299350">
                                      <w:marLeft w:val="0"/>
                                      <w:marRight w:val="0"/>
                                      <w:marTop w:val="0"/>
                                      <w:marBottom w:val="0"/>
                                      <w:divBdr>
                                        <w:top w:val="none" w:sz="0" w:space="0" w:color="auto"/>
                                        <w:left w:val="none" w:sz="0" w:space="0" w:color="auto"/>
                                        <w:bottom w:val="none" w:sz="0" w:space="0" w:color="auto"/>
                                        <w:right w:val="none" w:sz="0" w:space="0" w:color="auto"/>
                                      </w:divBdr>
                                      <w:divsChild>
                                        <w:div w:id="6074699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719404">
      <w:bodyDiv w:val="1"/>
      <w:marLeft w:val="0"/>
      <w:marRight w:val="0"/>
      <w:marTop w:val="0"/>
      <w:marBottom w:val="0"/>
      <w:divBdr>
        <w:top w:val="none" w:sz="0" w:space="0" w:color="auto"/>
        <w:left w:val="none" w:sz="0" w:space="0" w:color="auto"/>
        <w:bottom w:val="none" w:sz="0" w:space="0" w:color="auto"/>
        <w:right w:val="none" w:sz="0" w:space="0" w:color="auto"/>
      </w:divBdr>
    </w:div>
    <w:div w:id="1155757463">
      <w:bodyDiv w:val="1"/>
      <w:marLeft w:val="0"/>
      <w:marRight w:val="0"/>
      <w:marTop w:val="0"/>
      <w:marBottom w:val="0"/>
      <w:divBdr>
        <w:top w:val="none" w:sz="0" w:space="0" w:color="auto"/>
        <w:left w:val="none" w:sz="0" w:space="0" w:color="auto"/>
        <w:bottom w:val="none" w:sz="0" w:space="0" w:color="auto"/>
        <w:right w:val="none" w:sz="0" w:space="0" w:color="auto"/>
      </w:divBdr>
    </w:div>
    <w:div w:id="1196849872">
      <w:bodyDiv w:val="1"/>
      <w:marLeft w:val="0"/>
      <w:marRight w:val="0"/>
      <w:marTop w:val="0"/>
      <w:marBottom w:val="0"/>
      <w:divBdr>
        <w:top w:val="none" w:sz="0" w:space="0" w:color="auto"/>
        <w:left w:val="none" w:sz="0" w:space="0" w:color="auto"/>
        <w:bottom w:val="none" w:sz="0" w:space="0" w:color="auto"/>
        <w:right w:val="none" w:sz="0" w:space="0" w:color="auto"/>
      </w:divBdr>
    </w:div>
    <w:div w:id="1251087867">
      <w:bodyDiv w:val="1"/>
      <w:marLeft w:val="0"/>
      <w:marRight w:val="0"/>
      <w:marTop w:val="0"/>
      <w:marBottom w:val="0"/>
      <w:divBdr>
        <w:top w:val="none" w:sz="0" w:space="0" w:color="auto"/>
        <w:left w:val="none" w:sz="0" w:space="0" w:color="auto"/>
        <w:bottom w:val="none" w:sz="0" w:space="0" w:color="auto"/>
        <w:right w:val="none" w:sz="0" w:space="0" w:color="auto"/>
      </w:divBdr>
    </w:div>
    <w:div w:id="1263761103">
      <w:bodyDiv w:val="1"/>
      <w:marLeft w:val="0"/>
      <w:marRight w:val="0"/>
      <w:marTop w:val="0"/>
      <w:marBottom w:val="0"/>
      <w:divBdr>
        <w:top w:val="none" w:sz="0" w:space="0" w:color="auto"/>
        <w:left w:val="none" w:sz="0" w:space="0" w:color="auto"/>
        <w:bottom w:val="none" w:sz="0" w:space="0" w:color="auto"/>
        <w:right w:val="none" w:sz="0" w:space="0" w:color="auto"/>
      </w:divBdr>
    </w:div>
    <w:div w:id="1323122296">
      <w:bodyDiv w:val="1"/>
      <w:marLeft w:val="0"/>
      <w:marRight w:val="0"/>
      <w:marTop w:val="0"/>
      <w:marBottom w:val="0"/>
      <w:divBdr>
        <w:top w:val="none" w:sz="0" w:space="0" w:color="auto"/>
        <w:left w:val="none" w:sz="0" w:space="0" w:color="auto"/>
        <w:bottom w:val="none" w:sz="0" w:space="0" w:color="auto"/>
        <w:right w:val="none" w:sz="0" w:space="0" w:color="auto"/>
      </w:divBdr>
    </w:div>
    <w:div w:id="1572539215">
      <w:bodyDiv w:val="1"/>
      <w:marLeft w:val="0"/>
      <w:marRight w:val="0"/>
      <w:marTop w:val="0"/>
      <w:marBottom w:val="0"/>
      <w:divBdr>
        <w:top w:val="none" w:sz="0" w:space="0" w:color="auto"/>
        <w:left w:val="none" w:sz="0" w:space="0" w:color="auto"/>
        <w:bottom w:val="none" w:sz="0" w:space="0" w:color="auto"/>
        <w:right w:val="none" w:sz="0" w:space="0" w:color="auto"/>
      </w:divBdr>
      <w:divsChild>
        <w:div w:id="248198694">
          <w:marLeft w:val="0"/>
          <w:marRight w:val="0"/>
          <w:marTop w:val="0"/>
          <w:marBottom w:val="0"/>
          <w:divBdr>
            <w:top w:val="none" w:sz="0" w:space="0" w:color="auto"/>
            <w:left w:val="none" w:sz="0" w:space="0" w:color="auto"/>
            <w:bottom w:val="none" w:sz="0" w:space="0" w:color="auto"/>
            <w:right w:val="none" w:sz="0" w:space="0" w:color="auto"/>
          </w:divBdr>
          <w:divsChild>
            <w:div w:id="2049522112">
              <w:marLeft w:val="-225"/>
              <w:marRight w:val="-225"/>
              <w:marTop w:val="0"/>
              <w:marBottom w:val="0"/>
              <w:divBdr>
                <w:top w:val="none" w:sz="0" w:space="0" w:color="auto"/>
                <w:left w:val="none" w:sz="0" w:space="0" w:color="auto"/>
                <w:bottom w:val="none" w:sz="0" w:space="0" w:color="auto"/>
                <w:right w:val="none" w:sz="0" w:space="0" w:color="auto"/>
              </w:divBdr>
              <w:divsChild>
                <w:div w:id="21311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98499">
      <w:bodyDiv w:val="1"/>
      <w:marLeft w:val="0"/>
      <w:marRight w:val="0"/>
      <w:marTop w:val="0"/>
      <w:marBottom w:val="0"/>
      <w:divBdr>
        <w:top w:val="none" w:sz="0" w:space="0" w:color="auto"/>
        <w:left w:val="none" w:sz="0" w:space="0" w:color="auto"/>
        <w:bottom w:val="none" w:sz="0" w:space="0" w:color="auto"/>
        <w:right w:val="none" w:sz="0" w:space="0" w:color="auto"/>
      </w:divBdr>
    </w:div>
    <w:div w:id="1662923962">
      <w:bodyDiv w:val="1"/>
      <w:marLeft w:val="0"/>
      <w:marRight w:val="0"/>
      <w:marTop w:val="0"/>
      <w:marBottom w:val="0"/>
      <w:divBdr>
        <w:top w:val="none" w:sz="0" w:space="0" w:color="auto"/>
        <w:left w:val="none" w:sz="0" w:space="0" w:color="auto"/>
        <w:bottom w:val="none" w:sz="0" w:space="0" w:color="auto"/>
        <w:right w:val="none" w:sz="0" w:space="0" w:color="auto"/>
      </w:divBdr>
    </w:div>
    <w:div w:id="1695426222">
      <w:bodyDiv w:val="1"/>
      <w:marLeft w:val="0"/>
      <w:marRight w:val="0"/>
      <w:marTop w:val="0"/>
      <w:marBottom w:val="0"/>
      <w:divBdr>
        <w:top w:val="none" w:sz="0" w:space="0" w:color="auto"/>
        <w:left w:val="none" w:sz="0" w:space="0" w:color="auto"/>
        <w:bottom w:val="none" w:sz="0" w:space="0" w:color="auto"/>
        <w:right w:val="none" w:sz="0" w:space="0" w:color="auto"/>
      </w:divBdr>
    </w:div>
    <w:div w:id="1739475234">
      <w:bodyDiv w:val="1"/>
      <w:marLeft w:val="0"/>
      <w:marRight w:val="0"/>
      <w:marTop w:val="0"/>
      <w:marBottom w:val="0"/>
      <w:divBdr>
        <w:top w:val="none" w:sz="0" w:space="0" w:color="auto"/>
        <w:left w:val="none" w:sz="0" w:space="0" w:color="auto"/>
        <w:bottom w:val="none" w:sz="0" w:space="0" w:color="auto"/>
        <w:right w:val="none" w:sz="0" w:space="0" w:color="auto"/>
      </w:divBdr>
    </w:div>
    <w:div w:id="1914393533">
      <w:bodyDiv w:val="1"/>
      <w:marLeft w:val="0"/>
      <w:marRight w:val="0"/>
      <w:marTop w:val="0"/>
      <w:marBottom w:val="0"/>
      <w:divBdr>
        <w:top w:val="none" w:sz="0" w:space="0" w:color="auto"/>
        <w:left w:val="none" w:sz="0" w:space="0" w:color="auto"/>
        <w:bottom w:val="none" w:sz="0" w:space="0" w:color="auto"/>
        <w:right w:val="none" w:sz="0" w:space="0" w:color="auto"/>
      </w:divBdr>
    </w:div>
    <w:div w:id="1950550753">
      <w:bodyDiv w:val="1"/>
      <w:marLeft w:val="0"/>
      <w:marRight w:val="0"/>
      <w:marTop w:val="0"/>
      <w:marBottom w:val="0"/>
      <w:divBdr>
        <w:top w:val="none" w:sz="0" w:space="0" w:color="auto"/>
        <w:left w:val="none" w:sz="0" w:space="0" w:color="auto"/>
        <w:bottom w:val="none" w:sz="0" w:space="0" w:color="auto"/>
        <w:right w:val="none" w:sz="0" w:space="0" w:color="auto"/>
      </w:divBdr>
    </w:div>
    <w:div w:id="198096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k.com/ter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ohchr.org/en/professionalinterest/pages/ccpr.aspx" TargetMode="External"/><Relationship Id="rId17" Type="http://schemas.openxmlformats.org/officeDocument/2006/relationships/hyperlink" Target="https://help.twitter.com/en/rules-and-policies/hateful-conduct-policy" TargetMode="External"/><Relationship Id="rId2" Type="http://schemas.openxmlformats.org/officeDocument/2006/relationships/customXml" Target="../customXml/item2.xml"/><Relationship Id="rId16" Type="http://schemas.openxmlformats.org/officeDocument/2006/relationships/hyperlink" Target="https://www.facebook.com/communitystandards/hate_spee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support.google.com/youtube/answer/2801939?hl=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chat.com/en/acceptable_use_polic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humanrights.se/wp-content/uploads/2012/01/African-Charter-on-Human-and-Peoples-Rights.pdf" TargetMode="External"/><Relationship Id="rId18" Type="http://schemas.openxmlformats.org/officeDocument/2006/relationships/hyperlink" Target="https://undocs.org/A/HRC/38/47" TargetMode="External"/><Relationship Id="rId26" Type="http://schemas.openxmlformats.org/officeDocument/2006/relationships/hyperlink" Target="https://documents-dds-ny.un.org/doc/UNDOC/GEN/G18/274/54/PDF/G1827454.pdf?OpenElement" TargetMode="External"/><Relationship Id="rId39" Type="http://schemas.openxmlformats.org/officeDocument/2006/relationships/hyperlink" Target="https://spcommreports.ohchr.org/TMResultsBase/DownLoadPublicCommunicationFile?gId=24533" TargetMode="External"/><Relationship Id="rId21" Type="http://schemas.openxmlformats.org/officeDocument/2006/relationships/hyperlink" Target="https://www.ohchr.org/Documents/Issues/Opinion/SeminarRabat/Rabat_draft_outcome.pdf" TargetMode="External"/><Relationship Id="rId34" Type="http://schemas.openxmlformats.org/officeDocument/2006/relationships/hyperlink" Target="https://undocs.org/A/HRC/40/52" TargetMode="External"/><Relationship Id="rId42" Type="http://schemas.openxmlformats.org/officeDocument/2006/relationships/hyperlink" Target="https://cdt.org/insight/mixed-messages-the-limits-of-automated-social-media-content-analysis/" TargetMode="External"/><Relationship Id="rId47" Type="http://schemas.openxmlformats.org/officeDocument/2006/relationships/hyperlink" Target="https://poseidon01.ssrn.com/delivery.php?ID=333026086024086016016084029067116093053092066027063087014082072064069072100105106006097025058123057012116084126112095091068073122015029086009002087007004118086075041078056080101015101095116119125006029068104122066107086111005007019118099027122029017&amp;EXT=pdf" TargetMode="External"/><Relationship Id="rId50" Type="http://schemas.openxmlformats.org/officeDocument/2006/relationships/hyperlink" Target="https://www.apc.org/sites/default/files/mobReport10-Online_0.pdf" TargetMode="External"/><Relationship Id="rId55" Type="http://schemas.openxmlformats.org/officeDocument/2006/relationships/hyperlink" Target="https://www.ohchr.org/documents/publications/GuidingprinciplesBusinesshr_eN.pdf" TargetMode="External"/><Relationship Id="rId7" Type="http://schemas.openxmlformats.org/officeDocument/2006/relationships/hyperlink" Target="https://documents-dds-ny.un.org/doc/UNDOC/GEN/N12/501/25/PDF/N1250125.pdf?OpenElement" TargetMode="External"/><Relationship Id="rId12" Type="http://schemas.openxmlformats.org/officeDocument/2006/relationships/hyperlink" Target="http://www.oas.org/dil/treaties_B-32_American_Convention_on_Human_Rights.htm" TargetMode="External"/><Relationship Id="rId17" Type="http://schemas.openxmlformats.org/officeDocument/2006/relationships/hyperlink" Target="https://www.article19.org/data/files/medialibrary/38231/'Hate-Speech'-Explained---A-Toolkit-%282015-Edition%29.pdf" TargetMode="External"/><Relationship Id="rId25" Type="http://schemas.openxmlformats.org/officeDocument/2006/relationships/hyperlink" Target="https://www.article19.org/data/files/medialibrary/38231/'Hate-Speech'-Explained---A-Toolkit-%282015-Edition%29.pdf" TargetMode="External"/><Relationship Id="rId33" Type="http://schemas.openxmlformats.org/officeDocument/2006/relationships/hyperlink" Target="https://www.manilaprinciples.org/principles" TargetMode="External"/><Relationship Id="rId38" Type="http://schemas.openxmlformats.org/officeDocument/2006/relationships/hyperlink" Target="https://www.ohchr.org/Documents/Issues/Opinion/Legislation/ReplyFrance_OL_FRA_6_2019.pdf" TargetMode="External"/><Relationship Id="rId46" Type="http://schemas.openxmlformats.org/officeDocument/2006/relationships/hyperlink" Target="https://www.ohchr.org/en/NewsEvents/Pages/DisplayNews.aspx?NewsID=24909&amp;LangID=E" TargetMode="External"/><Relationship Id="rId2" Type="http://schemas.openxmlformats.org/officeDocument/2006/relationships/hyperlink" Target="https://ap.ohchr.org/documents/dpage_e.aspx?si=A/HRC/29/32" TargetMode="External"/><Relationship Id="rId16" Type="http://schemas.openxmlformats.org/officeDocument/2006/relationships/hyperlink" Target="https://undocs.org/A/71/373" TargetMode="External"/><Relationship Id="rId20" Type="http://schemas.openxmlformats.org/officeDocument/2006/relationships/hyperlink" Target="https://undocs.org/CERD/C/GC/35" TargetMode="External"/><Relationship Id="rId29" Type="http://schemas.openxmlformats.org/officeDocument/2006/relationships/hyperlink" Target="https://papers.ssrn.com/sol3/papers.cfm?abstract_id=3250950" TargetMode="External"/><Relationship Id="rId41" Type="http://schemas.openxmlformats.org/officeDocument/2006/relationships/hyperlink" Target="https://spcommreports.ohchr.org/TMResultsBase/DownLoadPublicCommunicationFile?gId=24234" TargetMode="External"/><Relationship Id="rId54" Type="http://schemas.openxmlformats.org/officeDocument/2006/relationships/hyperlink" Target="https://newsroom.fb.com/news/2019/09/updating-the-values-that-inform-our-community-standards/" TargetMode="External"/><Relationship Id="rId1" Type="http://schemas.openxmlformats.org/officeDocument/2006/relationships/hyperlink" Target="https://dangerousspeech.org/wp-content/uploads/2018/01/Dangerous-Speech-Guidelines-2013.pdf" TargetMode="External"/><Relationship Id="rId6" Type="http://schemas.openxmlformats.org/officeDocument/2006/relationships/hyperlink" Target="https://www.un.org/ga/search/view_doc.asp?symbol=A/73/348" TargetMode="External"/><Relationship Id="rId11" Type="http://schemas.openxmlformats.org/officeDocument/2006/relationships/hyperlink" Target="https://www.ohchr.org/EN/ProfessionalInterest/Pages/CMW.aspx" TargetMode="External"/><Relationship Id="rId24" Type="http://schemas.openxmlformats.org/officeDocument/2006/relationships/hyperlink" Target="https://www.ohchr.org/Documents/Issues/Religion/A-HRC-31-18_en.pdf" TargetMode="External"/><Relationship Id="rId32" Type="http://schemas.openxmlformats.org/officeDocument/2006/relationships/hyperlink" Target="http://www.oas.org/en/iachr/expression/docs/reports/hate/Hate_Speech_Incitement_Violence_Against_LGBTI.pdf" TargetMode="External"/><Relationship Id="rId37" Type="http://schemas.openxmlformats.org/officeDocument/2006/relationships/hyperlink" Target="https://www.ohchr.org/Documents/Issues/Opinion/Legislation/OL_FRA_20.08.19.pdf" TargetMode="External"/><Relationship Id="rId40" Type="http://schemas.openxmlformats.org/officeDocument/2006/relationships/hyperlink" Target="https://www.ohchr.org/Documents/Issues/Opinion/Legislation/HOMAct2019.pdf" TargetMode="External"/><Relationship Id="rId45" Type="http://schemas.openxmlformats.org/officeDocument/2006/relationships/hyperlink" Target="https://spcommreports.ohchr.org/TMResultsBase/DownLoadPublicCommunicationFile?gId=3282" TargetMode="External"/><Relationship Id="rId53" Type="http://schemas.openxmlformats.org/officeDocument/2006/relationships/hyperlink" Target="http://www3.weforum.org/docs/WEF_Responsible_Use_of_Technology.pdf" TargetMode="External"/><Relationship Id="rId5" Type="http://schemas.openxmlformats.org/officeDocument/2006/relationships/hyperlink" Target="https://ap.ohchr.org/documents/dpage_e.aspx?si=A/HRC/38/35" TargetMode="External"/><Relationship Id="rId15" Type="http://schemas.openxmlformats.org/officeDocument/2006/relationships/hyperlink" Target="https://documents-dds-ny.un.org/doc/UNDOC/GEN/N12/501/25/PDF/N1250125.pdf?OpenElement" TargetMode="External"/><Relationship Id="rId23" Type="http://schemas.openxmlformats.org/officeDocument/2006/relationships/hyperlink" Target="https://www.un.org/en/genocideprevention/documents/UN%20Strategy%20and%20Plan%20of%20Action%20on%20Hate%20Speech%2018%20June%20SYNOPSIS.pdf" TargetMode="External"/><Relationship Id="rId28" Type="http://schemas.openxmlformats.org/officeDocument/2006/relationships/hyperlink" Target="https://www.echr.coe.int/Documents/FS_Hate_speech_ENG.pdf" TargetMode="External"/><Relationship Id="rId36" Type="http://schemas.openxmlformats.org/officeDocument/2006/relationships/hyperlink" Target="https://www.legislationline.org/download/action/download/id/6115/file/Germany_CC_am2013_en.pdf" TargetMode="External"/><Relationship Id="rId49" Type="http://schemas.openxmlformats.org/officeDocument/2006/relationships/hyperlink" Target="https://spcommreports.ohchr.org/TMResultsBase/DownLoadPublicCommunicationFile?gId=24228" TargetMode="External"/><Relationship Id="rId57" Type="http://schemas.openxmlformats.org/officeDocument/2006/relationships/hyperlink" Target="https://www2.ohchr.org/english/bodies/hrcouncil/docs/16session/A.HRC.RES.16.18_en.pdf" TargetMode="External"/><Relationship Id="rId10" Type="http://schemas.openxmlformats.org/officeDocument/2006/relationships/hyperlink" Target="https://www.ohchr.org/EN/HRBodies/CRPD/Pages/ConventionRightsPersonsWithDisabilities.aspx" TargetMode="External"/><Relationship Id="rId19" Type="http://schemas.openxmlformats.org/officeDocument/2006/relationships/hyperlink" Target="https://www.hoover.org/research/sordid-origin-hate-speech-laws" TargetMode="External"/><Relationship Id="rId31" Type="http://schemas.openxmlformats.org/officeDocument/2006/relationships/hyperlink" Target="https://www.article19.org/wp-content/uploads/2018/03/ECA-hate-speech-compilation-report_March-2018.pdf" TargetMode="External"/><Relationship Id="rId44" Type="http://schemas.openxmlformats.org/officeDocument/2006/relationships/hyperlink" Target="https://spcommreports.ohchr.org/TMResultsBase/DownLoadPublicCommunicationFile?gId=23283" TargetMode="External"/><Relationship Id="rId52" Type="http://schemas.openxmlformats.org/officeDocument/2006/relationships/hyperlink" Target="https://globalreports.columbia.edu/books/speech-police/" TargetMode="External"/><Relationship Id="rId4" Type="http://schemas.openxmlformats.org/officeDocument/2006/relationships/hyperlink" Target="https://ap.ohchr.org/documents/dpage_e.aspx?si=A/HRC/35/22" TargetMode="External"/><Relationship Id="rId9" Type="http://schemas.openxmlformats.org/officeDocument/2006/relationships/hyperlink" Target="https://www.ohchr.org/en/professionalinterest/pages/crc.aspx" TargetMode="External"/><Relationship Id="rId14" Type="http://schemas.openxmlformats.org/officeDocument/2006/relationships/hyperlink" Target="https://www.echr.coe.int/Documents/Convention_ENG.pdf" TargetMode="External"/><Relationship Id="rId22" Type="http://schemas.openxmlformats.org/officeDocument/2006/relationships/hyperlink" Target="https://www.article19.org/data/files/medialibrary/3548/ARTICLE-19-policy-on-prohibition-to-incitement.pdf" TargetMode="External"/><Relationship Id="rId27" Type="http://schemas.openxmlformats.org/officeDocument/2006/relationships/hyperlink" Target="https://rm.coe.int/opening-session-2-parmar-the-legal-framework-for-addressing-hate-speec/16808ee4bf" TargetMode="External"/><Relationship Id="rId30" Type="http://schemas.openxmlformats.org/officeDocument/2006/relationships/hyperlink" Target="https://www.echr.coe.int/Documents/Guide_Art_17_ENG.pdf" TargetMode="External"/><Relationship Id="rId35" Type="http://schemas.openxmlformats.org/officeDocument/2006/relationships/hyperlink" Target="https://www.bmjv.de/SharedDocs/Gesetzgebungsverfahren/Dokumente/NetzDG_engl.pdf;jsessionid=C34CF910C6EA1628C49715A840DD1BF5.2_cid297?__blob=publicationFile&amp;v=2" TargetMode="External"/><Relationship Id="rId43" Type="http://schemas.openxmlformats.org/officeDocument/2006/relationships/hyperlink" Target="https://cyberlaw.stanford.edu/files/Dolphins-in-the-Net-AG-Analysis.pdf" TargetMode="External"/><Relationship Id="rId48" Type="http://schemas.openxmlformats.org/officeDocument/2006/relationships/hyperlink" Target="https://minefi.hosting.augure.com/Augure_Minefi/r/ContenuEnLigne/Download?id=AE5B7ED5-2385-4749-9CE8-E4E1B36873E4&amp;filename=Mission%20Re%CC%81gulation%20des%20re%CC%81seaux%20sociaux%20-ENG.pdf" TargetMode="External"/><Relationship Id="rId56" Type="http://schemas.openxmlformats.org/officeDocument/2006/relationships/hyperlink" Target="https://fbnewsroomus.files.wordpress.com/2018/11/bsr-facebook-myanmar-hria_final.pdf" TargetMode="External"/><Relationship Id="rId8" Type="http://schemas.openxmlformats.org/officeDocument/2006/relationships/hyperlink" Target="https://www.ohchr.org/en/professionalinterest/pages/cerd.aspx" TargetMode="External"/><Relationship Id="rId51" Type="http://schemas.openxmlformats.org/officeDocument/2006/relationships/hyperlink" Target="https://harvardlawreview.org/wp-content/uploads/2018/04/1598-1670_Online.pdf" TargetMode="External"/><Relationship Id="rId3" Type="http://schemas.openxmlformats.org/officeDocument/2006/relationships/hyperlink" Target="https://ap.ohchr.org/documents/dpage_e.aspx?si=A/HRC/3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C503-70B6-466A-B222-165617942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61C5B-7A07-4336-9120-F806BF017712}">
  <ds:schemaRefs>
    <ds:schemaRef ds:uri="http://schemas.microsoft.com/sharepoint/v3/contenttype/forms"/>
  </ds:schemaRefs>
</ds:datastoreItem>
</file>

<file path=customXml/itemProps3.xml><?xml version="1.0" encoding="utf-8"?>
<ds:datastoreItem xmlns:ds="http://schemas.openxmlformats.org/officeDocument/2006/customXml" ds:itemID="{B57085CF-CC87-43B6-AF61-0745F726F5B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D3A445-64B3-491D-8964-DEEBC313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8999</Words>
  <Characters>51299</Characters>
  <Application>Microsoft Office Word</Application>
  <DocSecurity>0</DocSecurity>
  <Lines>427</Lines>
  <Paragraphs>120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 74 48048 For Clearance (final)</vt:lpstr>
      <vt:lpstr/>
      <vt:lpstr/>
    </vt:vector>
  </TitlesOfParts>
  <Company>CSD</Company>
  <LinksUpToDate>false</LinksUpToDate>
  <CharactersWithSpaces>60178</CharactersWithSpaces>
  <SharedDoc>false</SharedDoc>
  <HLinks>
    <vt:vector size="60" baseType="variant">
      <vt:variant>
        <vt:i4>7274613</vt:i4>
      </vt:variant>
      <vt:variant>
        <vt:i4>27</vt:i4>
      </vt:variant>
      <vt:variant>
        <vt:i4>0</vt:i4>
      </vt:variant>
      <vt:variant>
        <vt:i4>5</vt:i4>
      </vt:variant>
      <vt:variant>
        <vt:lpwstr>http://www.who.int/workforcealliance/countries/pry/en/</vt:lpwstr>
      </vt:variant>
      <vt:variant>
        <vt:lpwstr/>
      </vt:variant>
      <vt:variant>
        <vt:i4>7012391</vt:i4>
      </vt:variant>
      <vt:variant>
        <vt:i4>24</vt:i4>
      </vt:variant>
      <vt:variant>
        <vt:i4>0</vt:i4>
      </vt:variant>
      <vt:variant>
        <vt:i4>5</vt:i4>
      </vt:variant>
      <vt:variant>
        <vt:lpwstr>http://www.who.int/gho/publications/world_health_statistics/EN_WHS2014_Part3.pdf?ua=1</vt:lpwstr>
      </vt:variant>
      <vt:variant>
        <vt:lpwstr/>
      </vt:variant>
      <vt:variant>
        <vt:i4>3539056</vt:i4>
      </vt:variant>
      <vt:variant>
        <vt:i4>21</vt:i4>
      </vt:variant>
      <vt:variant>
        <vt:i4>0</vt:i4>
      </vt:variant>
      <vt:variant>
        <vt:i4>5</vt:i4>
      </vt:variant>
      <vt:variant>
        <vt:lpwstr>http://www.ohchr.org/SP/NewsEvents/Pages/DisplayNews.aspx?NewsID=16819&amp;LangID=S</vt:lpwstr>
      </vt:variant>
      <vt:variant>
        <vt:lpwstr/>
      </vt:variant>
      <vt:variant>
        <vt:i4>4390912</vt:i4>
      </vt:variant>
      <vt:variant>
        <vt:i4>18</vt:i4>
      </vt:variant>
      <vt:variant>
        <vt:i4>0</vt:i4>
      </vt:variant>
      <vt:variant>
        <vt:i4>5</vt:i4>
      </vt:variant>
      <vt:variant>
        <vt:lpwstr>http://www.unaids.org/en/regionscountries/countries/paraguay/</vt:lpwstr>
      </vt:variant>
      <vt:variant>
        <vt:lpwstr/>
      </vt:variant>
      <vt:variant>
        <vt:i4>3276827</vt:i4>
      </vt:variant>
      <vt:variant>
        <vt:i4>15</vt:i4>
      </vt:variant>
      <vt:variant>
        <vt:i4>0</vt:i4>
      </vt:variant>
      <vt:variant>
        <vt:i4>5</vt:i4>
      </vt:variant>
      <vt:variant>
        <vt:lpwstr>http://www.unicef.org/paraguay/spanish/children_16444.htm</vt:lpwstr>
      </vt:variant>
      <vt:variant>
        <vt:lpwstr/>
      </vt:variant>
      <vt:variant>
        <vt:i4>3932273</vt:i4>
      </vt:variant>
      <vt:variant>
        <vt:i4>12</vt:i4>
      </vt:variant>
      <vt:variant>
        <vt:i4>0</vt:i4>
      </vt:variant>
      <vt:variant>
        <vt:i4>5</vt:i4>
      </vt:variant>
      <vt:variant>
        <vt:lpwstr>http://www.unicef.org/paraguay/spanish/20_compromisos_ninez.pdf</vt:lpwstr>
      </vt:variant>
      <vt:variant>
        <vt:lpwstr/>
      </vt:variant>
      <vt:variant>
        <vt:i4>3211306</vt:i4>
      </vt:variant>
      <vt:variant>
        <vt:i4>9</vt:i4>
      </vt:variant>
      <vt:variant>
        <vt:i4>0</vt:i4>
      </vt:variant>
      <vt:variant>
        <vt:i4>5</vt:i4>
      </vt:variant>
      <vt:variant>
        <vt:lpwstr>http://www.europarl.europa.eu/sides/getDoc.do?pubRef=-//EP//NONSGML+TA+P8-TA-2015-0230+0+DOC+PDF+V0//EN</vt:lpwstr>
      </vt:variant>
      <vt:variant>
        <vt:lpwstr/>
      </vt:variant>
      <vt:variant>
        <vt:i4>2097275</vt:i4>
      </vt:variant>
      <vt:variant>
        <vt:i4>6</vt:i4>
      </vt:variant>
      <vt:variant>
        <vt:i4>0</vt:i4>
      </vt:variant>
      <vt:variant>
        <vt:i4>5</vt:i4>
      </vt:variant>
      <vt:variant>
        <vt:lpwstr>https://www.oas.org/es/cidh/decisiones/pdf/2015/MC178-15-ES.pdf</vt:lpwstr>
      </vt:variant>
      <vt:variant>
        <vt:lpwstr/>
      </vt:variant>
      <vt:variant>
        <vt:i4>4259857</vt:i4>
      </vt:variant>
      <vt:variant>
        <vt:i4>3</vt:i4>
      </vt:variant>
      <vt:variant>
        <vt:i4>0</vt:i4>
      </vt:variant>
      <vt:variant>
        <vt:i4>5</vt:i4>
      </vt:variant>
      <vt:variant>
        <vt:lpwstr>http://www.who.int/gho/countries/pry.pdf</vt:lpwstr>
      </vt:variant>
      <vt:variant>
        <vt:lpwstr/>
      </vt:variant>
      <vt:variant>
        <vt:i4>3211301</vt:i4>
      </vt:variant>
      <vt:variant>
        <vt:i4>0</vt:i4>
      </vt:variant>
      <vt:variant>
        <vt:i4>0</vt:i4>
      </vt:variant>
      <vt:variant>
        <vt:i4>5</vt:i4>
      </vt:variant>
      <vt:variant>
        <vt:lpwstr>http://www.cadep.org.py/uploads/2015/10/EyS-17.pdf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74 48048 For Clearance (final)</dc:title>
  <dc:creator>Laura Giardini</dc:creator>
  <cp:lastModifiedBy>Dublin City University</cp:lastModifiedBy>
  <cp:revision>2</cp:revision>
  <cp:lastPrinted>2019-10-08T10:34:00Z</cp:lastPrinted>
  <dcterms:created xsi:type="dcterms:W3CDTF">2019-10-29T13:50:00Z</dcterms:created>
  <dcterms:modified xsi:type="dcterms:W3CDTF">2019-10-29T13:50:00Z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